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212236321"/>
    <w:bookmarkStart w:id="1" w:name="_Toc212369215"/>
    <w:bookmarkStart w:id="2" w:name="_Toc212369286"/>
    <w:bookmarkStart w:id="3" w:name="_Toc211632684"/>
    <w:p w14:paraId="05C1CDB6" w14:textId="487F708F" w:rsidR="00E26123" w:rsidRDefault="003065E5" w:rsidP="004A6A41">
      <w:pPr>
        <w:pStyle w:val="PHeading1"/>
        <w:sectPr w:rsidR="00E26123" w:rsidSect="001C6AC9">
          <w:headerReference w:type="default" r:id="rId8"/>
          <w:footerReference w:type="default" r:id="rId9"/>
          <w:pgSz w:w="12240" w:h="15840"/>
          <w:pgMar w:top="1440" w:right="1440" w:bottom="1440" w:left="1440" w:header="720" w:footer="720" w:gutter="0"/>
          <w:pgNumType w:start="1"/>
          <w:cols w:space="720"/>
          <w:docGrid w:linePitch="360"/>
        </w:sectPr>
      </w:pPr>
      <w:r>
        <w:rPr>
          <w:noProof/>
        </w:rPr>
        <mc:AlternateContent>
          <mc:Choice Requires="wps">
            <w:drawing>
              <wp:anchor distT="0" distB="0" distL="114300" distR="114300" simplePos="0" relativeHeight="251658243" behindDoc="0" locked="0" layoutInCell="1" allowOverlap="1" wp14:anchorId="46D6EA42" wp14:editId="12F9E343">
                <wp:simplePos x="0" y="0"/>
                <wp:positionH relativeFrom="column">
                  <wp:posOffset>-914400</wp:posOffset>
                </wp:positionH>
                <wp:positionV relativeFrom="paragraph">
                  <wp:posOffset>4406900</wp:posOffset>
                </wp:positionV>
                <wp:extent cx="7772400" cy="88900"/>
                <wp:effectExtent l="0" t="0" r="0" b="6350"/>
                <wp:wrapNone/>
                <wp:docPr id="2098125718" name="Rectangle 1"/>
                <wp:cNvGraphicFramePr/>
                <a:graphic xmlns:a="http://schemas.openxmlformats.org/drawingml/2006/main">
                  <a:graphicData uri="http://schemas.microsoft.com/office/word/2010/wordprocessingShape">
                    <wps:wsp>
                      <wps:cNvSpPr/>
                      <wps:spPr>
                        <a:xfrm>
                          <a:off x="0" y="0"/>
                          <a:ext cx="7772400" cy="88900"/>
                        </a:xfrm>
                        <a:prstGeom prst="rect">
                          <a:avLst/>
                        </a:prstGeom>
                        <a:solidFill>
                          <a:schemeClr val="accent1">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w14:anchorId="44AC9EE2">
              <v:rect id="Rectangle 1" style="position:absolute;margin-left:-1in;margin-top:347pt;width:612pt;height:7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2d0f1 [660]" stroked="f" strokeweight="1pt" w14:anchorId="0FC615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"/>
            </w:pict>
          </mc:Fallback>
        </mc:AlternateContent>
      </w:r>
      <w:r w:rsidR="00DE5E50">
        <w:rPr>
          <w:noProof/>
        </w:rPr>
        <mc:AlternateContent>
          <mc:Choice Requires="wps">
            <w:drawing>
              <wp:anchor distT="0" distB="0" distL="114300" distR="114300" simplePos="0" relativeHeight="251658240" behindDoc="0" locked="0" layoutInCell="1" allowOverlap="1" wp14:anchorId="6FDED0B2" wp14:editId="780D9EDB">
                <wp:simplePos x="0" y="0"/>
                <wp:positionH relativeFrom="column">
                  <wp:posOffset>-914400</wp:posOffset>
                </wp:positionH>
                <wp:positionV relativeFrom="paragraph">
                  <wp:posOffset>3841750</wp:posOffset>
                </wp:positionV>
                <wp:extent cx="7772400" cy="556592"/>
                <wp:effectExtent l="0" t="0" r="0" b="0"/>
                <wp:wrapNone/>
                <wp:docPr id="762552778" name="Rectangle 1"/>
                <wp:cNvGraphicFramePr/>
                <a:graphic xmlns:a="http://schemas.openxmlformats.org/drawingml/2006/main">
                  <a:graphicData uri="http://schemas.microsoft.com/office/word/2010/wordprocessingShape">
                    <wps:wsp>
                      <wps:cNvSpPr/>
                      <wps:spPr>
                        <a:xfrm>
                          <a:off x="0" y="0"/>
                          <a:ext cx="7772400" cy="556592"/>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w14:anchorId="2AAA2953">
              <v:rect id="Rectangle 1" style="position:absolute;margin-left:-1in;margin-top:302.5pt;width:612pt;height:43.85pt;z-index:2516592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7030a0 [3204]" stroked="f" strokeweight="1pt" w14:anchorId="053EA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"/>
            </w:pict>
          </mc:Fallback>
        </mc:AlternateContent>
      </w:r>
      <w:r w:rsidR="00DE5E50">
        <w:rPr>
          <w:noProof/>
        </w:rPr>
        <mc:AlternateContent>
          <mc:Choice Requires="wps">
            <w:drawing>
              <wp:anchor distT="0" distB="0" distL="114300" distR="114300" simplePos="0" relativeHeight="251658241" behindDoc="0" locked="0" layoutInCell="1" allowOverlap="1" wp14:anchorId="07EED199" wp14:editId="63122DC1">
                <wp:simplePos x="0" y="0"/>
                <wp:positionH relativeFrom="column">
                  <wp:posOffset>-914400</wp:posOffset>
                </wp:positionH>
                <wp:positionV relativeFrom="paragraph">
                  <wp:posOffset>3752850</wp:posOffset>
                </wp:positionV>
                <wp:extent cx="7772400" cy="88900"/>
                <wp:effectExtent l="0" t="0" r="0" b="6350"/>
                <wp:wrapNone/>
                <wp:docPr id="1407703368" name="Rectangle 1"/>
                <wp:cNvGraphicFramePr/>
                <a:graphic xmlns:a="http://schemas.openxmlformats.org/drawingml/2006/main">
                  <a:graphicData uri="http://schemas.microsoft.com/office/word/2010/wordprocessingShape">
                    <wps:wsp>
                      <wps:cNvSpPr/>
                      <wps:spPr>
                        <a:xfrm>
                          <a:off x="0" y="0"/>
                          <a:ext cx="7772400" cy="88900"/>
                        </a:xfrm>
                        <a:prstGeom prst="rect">
                          <a:avLst/>
                        </a:prstGeom>
                        <a:solidFill>
                          <a:schemeClr val="accent1">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w14:anchorId="2170895F">
              <v:rect id="Rectangle 1" style="position:absolute;margin-left:-1in;margin-top:295.5pt;width:612pt;height:7pt;z-index:25166028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e2d0f1 [660]" stroked="f" strokeweight="1pt" w14:anchorId="4B9CD7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"/>
            </w:pict>
          </mc:Fallback>
        </mc:AlternateContent>
      </w:r>
      <w:r w:rsidR="00DE5E50">
        <w:rPr>
          <w:noProof/>
        </w:rPr>
        <mc:AlternateContent>
          <mc:Choice Requires="wps">
            <w:drawing>
              <wp:anchor distT="0" distB="0" distL="114300" distR="114300" simplePos="0" relativeHeight="251658242" behindDoc="0" locked="0" layoutInCell="1" allowOverlap="1" wp14:anchorId="1C17AF60" wp14:editId="5C0E025A">
                <wp:simplePos x="0" y="0"/>
                <wp:positionH relativeFrom="column">
                  <wp:posOffset>660400</wp:posOffset>
                </wp:positionH>
                <wp:positionV relativeFrom="paragraph">
                  <wp:posOffset>3892550</wp:posOffset>
                </wp:positionV>
                <wp:extent cx="4629150" cy="457200"/>
                <wp:effectExtent l="0" t="0" r="0" b="0"/>
                <wp:wrapNone/>
                <wp:docPr id="2008121509" name="Text Box 3"/>
                <wp:cNvGraphicFramePr/>
                <a:graphic xmlns:a="http://schemas.openxmlformats.org/drawingml/2006/main">
                  <a:graphicData uri="http://schemas.microsoft.com/office/word/2010/wordprocessingShape">
                    <wps:wsp>
                      <wps:cNvSpPr txBox="1"/>
                      <wps:spPr>
                        <a:xfrm>
                          <a:off x="0" y="0"/>
                          <a:ext cx="4629150" cy="457200"/>
                        </a:xfrm>
                        <a:prstGeom prst="rect">
                          <a:avLst/>
                        </a:prstGeom>
                        <a:noFill/>
                        <a:ln w="6350">
                          <a:noFill/>
                        </a:ln>
                      </wps:spPr>
                      <wps:txbx>
                        <w:txbxContent>
                          <w:p w14:paraId="3FE76B49" w14:textId="637E87E7" w:rsidR="00C87B67" w:rsidRPr="00DE5E50" w:rsidRDefault="00C87B67" w:rsidP="00C87B67">
                            <w:pPr>
                              <w:pStyle w:val="PTabtitle"/>
                              <w:rPr>
                                <w:color w:val="FFFFFF" w:themeColor="background1"/>
                              </w:rPr>
                            </w:pPr>
                            <w:r w:rsidRPr="00DE5E50">
                              <w:rPr>
                                <w:color w:val="FFFFFF" w:themeColor="background1"/>
                              </w:rPr>
                              <w:t xml:space="preserve">Section </w:t>
                            </w:r>
                            <w:r w:rsidR="00DE5E50">
                              <w:rPr>
                                <w:color w:val="FFFFFF" w:themeColor="background1"/>
                              </w:rPr>
                              <w:t>3</w:t>
                            </w:r>
                            <w:r w:rsidRPr="00DE5E50">
                              <w:rPr>
                                <w:color w:val="FFFFFF" w:themeColor="background1"/>
                              </w:rPr>
                              <w:t xml:space="preserve"> – </w:t>
                            </w:r>
                            <w:r w:rsidR="00DE5E50" w:rsidRPr="00DE5E50">
                              <w:rPr>
                                <w:color w:val="FFFFFF" w:themeColor="background1"/>
                              </w:rPr>
                              <w:t>Staffing Approach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C17AF60" id="_x0000_t202" coordsize="21600,21600" o:spt="202" path="m,l,21600r21600,l21600,xe">
                <v:stroke joinstyle="miter"/>
                <v:path gradientshapeok="t" o:connecttype="rect"/>
              </v:shapetype>
              <v:shape id="Text Box 3" o:spid="_x0000_s1026" type="#_x0000_t202" style="position:absolute;margin-left:52pt;margin-top:306.5pt;width:364.5pt;height:36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" filled="f" stroked="f" strokeweight=".5pt">
                <v:textbox>
                  <w:txbxContent>
                    <w:p w14:paraId="3FE76B49" w14:textId="637E87E7" w:rsidR="00C87B67" w:rsidRPr="00DE5E50" w:rsidRDefault="00C87B67" w:rsidP="00C87B67">
                      <w:pPr>
                        <w:pStyle w:val="PTabtitle"/>
                        <w:rPr>
                          <w:color w:val="FFFFFF" w:themeColor="background1"/>
                        </w:rPr>
                      </w:pPr>
                      <w:r w:rsidRPr="00DE5E50">
                        <w:rPr>
                          <w:color w:val="FFFFFF" w:themeColor="background1"/>
                        </w:rPr>
                        <w:t xml:space="preserve">Section </w:t>
                      </w:r>
                      <w:r w:rsidR="00DE5E50">
                        <w:rPr>
                          <w:color w:val="FFFFFF" w:themeColor="background1"/>
                        </w:rPr>
                        <w:t>3</w:t>
                      </w:r>
                      <w:r w:rsidRPr="00DE5E50">
                        <w:rPr>
                          <w:color w:val="FFFFFF" w:themeColor="background1"/>
                        </w:rPr>
                        <w:t xml:space="preserve"> – </w:t>
                      </w:r>
                      <w:r w:rsidR="00DE5E50" w:rsidRPr="00DE5E50">
                        <w:rPr>
                          <w:color w:val="FFFFFF" w:themeColor="background1"/>
                        </w:rPr>
                        <w:t>Staffing Approach</w:t>
                      </w:r>
                    </w:p>
                  </w:txbxContent>
                </v:textbox>
              </v:shape>
            </w:pict>
          </mc:Fallback>
        </mc:AlternateContent>
      </w:r>
      <w:bookmarkEnd w:id="0"/>
      <w:bookmarkEnd w:id="1"/>
      <w:bookmarkEnd w:id="2"/>
    </w:p>
    <w:p w14:paraId="29ADD1A6" w14:textId="09327985" w:rsidR="00DC403C" w:rsidRPr="00542283" w:rsidRDefault="0077546B" w:rsidP="00542283">
      <w:pPr>
        <w:pStyle w:val="PHeading1"/>
        <w:spacing w:before="120" w:after="120"/>
      </w:pPr>
      <w:bookmarkStart w:id="4" w:name="_Toc212369216"/>
      <w:bookmarkStart w:id="5" w:name="_Toc212369287"/>
      <w:r w:rsidRPr="00542283">
        <w:lastRenderedPageBreak/>
        <w:t>Table of</w:t>
      </w:r>
      <w:r w:rsidRPr="00542283">
        <w:rPr>
          <w:rStyle w:val="Hyperlink"/>
          <w:color w:val="532477" w:themeColor="accent1" w:themeShade="BF"/>
          <w:u w:val="none"/>
        </w:rPr>
        <w:t xml:space="preserve"> </w:t>
      </w:r>
      <w:r w:rsidRPr="00542283">
        <w:t>Contents</w:t>
      </w:r>
      <w:bookmarkEnd w:id="4"/>
      <w:bookmarkEnd w:id="5"/>
    </w:p>
    <w:p w14:paraId="1C6C50E3" w14:textId="79312EE7" w:rsidR="000660F5" w:rsidRPr="000660F5" w:rsidRDefault="000660F5" w:rsidP="000660F5">
      <w:pPr>
        <w:pStyle w:val="TOC1"/>
        <w:rPr>
          <w:rFonts w:eastAsiaTheme="minorEastAsia"/>
          <w:kern w:val="2"/>
          <w:sz w:val="24"/>
          <w:szCs w:val="24"/>
          <w14:ligatures w14:val="standardContextual"/>
        </w:rPr>
      </w:pPr>
      <w:r>
        <w:fldChar w:fldCharType="begin"/>
      </w:r>
      <w:r>
        <w:instrText xml:space="preserve"> TOC \h \z \t "P_Heading 1,1,P_Subheading 1,2,P_Subheading 2,3" </w:instrText>
      </w:r>
      <w:r>
        <w:fldChar w:fldCharType="separate"/>
      </w:r>
      <w:hyperlink w:anchor="_Toc212369288" w:history="1">
        <w:r w:rsidRPr="000660F5">
          <w:rPr>
            <w:rStyle w:val="Hyperlink"/>
          </w:rPr>
          <w:t>6.3.3.5 Section 3 – Staffing Approach</w:t>
        </w:r>
        <w:r w:rsidRPr="000660F5">
          <w:rPr>
            <w:webHidden/>
          </w:rPr>
          <w:tab/>
        </w:r>
        <w:r w:rsidRPr="000660F5">
          <w:rPr>
            <w:webHidden/>
          </w:rPr>
          <w:fldChar w:fldCharType="begin"/>
        </w:r>
        <w:r w:rsidRPr="000660F5">
          <w:rPr>
            <w:webHidden/>
          </w:rPr>
          <w:instrText xml:space="preserve"> PAGEREF _Toc212369288 \h </w:instrText>
        </w:r>
        <w:r w:rsidRPr="000660F5">
          <w:rPr>
            <w:webHidden/>
          </w:rPr>
        </w:r>
        <w:r w:rsidRPr="000660F5">
          <w:rPr>
            <w:webHidden/>
          </w:rPr>
          <w:fldChar w:fldCharType="separate"/>
        </w:r>
        <w:r w:rsidR="00324369">
          <w:rPr>
            <w:webHidden/>
          </w:rPr>
          <w:t>3</w:t>
        </w:r>
        <w:r w:rsidRPr="000660F5">
          <w:rPr>
            <w:webHidden/>
          </w:rPr>
          <w:fldChar w:fldCharType="end"/>
        </w:r>
      </w:hyperlink>
    </w:p>
    <w:p w14:paraId="0267E072" w14:textId="47F4239F" w:rsidR="000660F5" w:rsidRPr="00324FAA" w:rsidRDefault="000660F5" w:rsidP="00324FAA">
      <w:pPr>
        <w:pStyle w:val="TOC2"/>
        <w:rPr>
          <w:rFonts w:eastAsiaTheme="minorEastAsia"/>
          <w:kern w:val="2"/>
          <w:sz w:val="24"/>
          <w:szCs w:val="24"/>
          <w14:ligatures w14:val="standardContextual"/>
        </w:rPr>
      </w:pPr>
      <w:hyperlink w:anchor="_Toc212369289" w:history="1">
        <w:r w:rsidRPr="00324FAA">
          <w:rPr>
            <w:rStyle w:val="Hyperlink"/>
          </w:rPr>
          <w:t>6.3.3.5.1 Staffing Approach Narrative</w:t>
        </w:r>
        <w:r w:rsidRPr="00324FAA">
          <w:rPr>
            <w:webHidden/>
          </w:rPr>
          <w:tab/>
        </w:r>
        <w:r w:rsidRPr="00324FAA">
          <w:rPr>
            <w:webHidden/>
          </w:rPr>
          <w:fldChar w:fldCharType="begin"/>
        </w:r>
        <w:r w:rsidRPr="00324FAA">
          <w:rPr>
            <w:webHidden/>
          </w:rPr>
          <w:instrText xml:space="preserve"> PAGEREF _Toc212369289 \h </w:instrText>
        </w:r>
        <w:r w:rsidRPr="00324FAA">
          <w:rPr>
            <w:webHidden/>
          </w:rPr>
        </w:r>
        <w:r w:rsidRPr="00324FAA">
          <w:rPr>
            <w:webHidden/>
          </w:rPr>
          <w:fldChar w:fldCharType="separate"/>
        </w:r>
        <w:r w:rsidR="00324369">
          <w:rPr>
            <w:webHidden/>
          </w:rPr>
          <w:t>3</w:t>
        </w:r>
        <w:r w:rsidRPr="00324FAA">
          <w:rPr>
            <w:webHidden/>
          </w:rPr>
          <w:fldChar w:fldCharType="end"/>
        </w:r>
      </w:hyperlink>
    </w:p>
    <w:p w14:paraId="661A2FEE" w14:textId="414F6944" w:rsidR="000660F5" w:rsidRPr="00542283" w:rsidRDefault="000660F5">
      <w:pPr>
        <w:pStyle w:val="TOC3"/>
        <w:tabs>
          <w:tab w:val="left" w:pos="960"/>
          <w:tab w:val="right" w:leader="dot" w:pos="9350"/>
        </w:tabs>
        <w:rPr>
          <w:noProof/>
          <w:sz w:val="22"/>
          <w:szCs w:val="22"/>
          <w:lang w:val="en-US" w:eastAsia="en-US"/>
        </w:rPr>
      </w:pPr>
      <w:hyperlink w:anchor="_Toc212369290" w:history="1">
        <w:r w:rsidRPr="00542283">
          <w:rPr>
            <w:rStyle w:val="Hyperlink"/>
            <w:noProof/>
            <w:sz w:val="22"/>
            <w:szCs w:val="22"/>
          </w:rPr>
          <w:t>1.</w:t>
        </w:r>
        <w:r w:rsidRPr="00542283">
          <w:rPr>
            <w:noProof/>
            <w:sz w:val="22"/>
            <w:szCs w:val="22"/>
            <w:lang w:val="en-US" w:eastAsia="en-US"/>
          </w:rPr>
          <w:tab/>
        </w:r>
        <w:r w:rsidRPr="00542283">
          <w:rPr>
            <w:rStyle w:val="Hyperlink"/>
            <w:noProof/>
            <w:sz w:val="22"/>
            <w:szCs w:val="22"/>
          </w:rPr>
          <w:t>Overview</w:t>
        </w:r>
        <w:r w:rsidRPr="00542283">
          <w:rPr>
            <w:noProof/>
            <w:webHidden/>
            <w:sz w:val="22"/>
            <w:szCs w:val="22"/>
          </w:rPr>
          <w:tab/>
        </w:r>
        <w:r w:rsidRPr="00542283">
          <w:rPr>
            <w:noProof/>
            <w:webHidden/>
            <w:sz w:val="22"/>
            <w:szCs w:val="22"/>
          </w:rPr>
          <w:fldChar w:fldCharType="begin"/>
        </w:r>
        <w:r w:rsidRPr="00542283">
          <w:rPr>
            <w:noProof/>
            <w:webHidden/>
            <w:sz w:val="22"/>
            <w:szCs w:val="22"/>
          </w:rPr>
          <w:instrText xml:space="preserve"> PAGEREF _Toc212369290 \h </w:instrText>
        </w:r>
        <w:r w:rsidRPr="00542283">
          <w:rPr>
            <w:noProof/>
            <w:webHidden/>
            <w:sz w:val="22"/>
            <w:szCs w:val="22"/>
          </w:rPr>
        </w:r>
        <w:r w:rsidRPr="00542283">
          <w:rPr>
            <w:noProof/>
            <w:webHidden/>
            <w:sz w:val="22"/>
            <w:szCs w:val="22"/>
          </w:rPr>
          <w:fldChar w:fldCharType="separate"/>
        </w:r>
        <w:r w:rsidR="00324369">
          <w:rPr>
            <w:noProof/>
            <w:webHidden/>
            <w:sz w:val="22"/>
            <w:szCs w:val="22"/>
          </w:rPr>
          <w:t>3</w:t>
        </w:r>
        <w:r w:rsidRPr="00542283">
          <w:rPr>
            <w:noProof/>
            <w:webHidden/>
            <w:sz w:val="22"/>
            <w:szCs w:val="22"/>
          </w:rPr>
          <w:fldChar w:fldCharType="end"/>
        </w:r>
      </w:hyperlink>
    </w:p>
    <w:p w14:paraId="15ADB859" w14:textId="1CC979F2" w:rsidR="000660F5" w:rsidRPr="00542283" w:rsidRDefault="000660F5">
      <w:pPr>
        <w:pStyle w:val="TOC3"/>
        <w:tabs>
          <w:tab w:val="left" w:pos="960"/>
          <w:tab w:val="right" w:leader="dot" w:pos="9350"/>
        </w:tabs>
        <w:rPr>
          <w:noProof/>
          <w:sz w:val="22"/>
          <w:szCs w:val="22"/>
          <w:lang w:val="en-US" w:eastAsia="en-US"/>
        </w:rPr>
      </w:pPr>
      <w:hyperlink w:anchor="_Toc212369291" w:history="1">
        <w:r w:rsidRPr="00542283">
          <w:rPr>
            <w:rStyle w:val="Hyperlink"/>
            <w:noProof/>
            <w:sz w:val="22"/>
            <w:szCs w:val="22"/>
          </w:rPr>
          <w:t>2.</w:t>
        </w:r>
        <w:r w:rsidRPr="00542283">
          <w:rPr>
            <w:noProof/>
            <w:sz w:val="22"/>
            <w:szCs w:val="22"/>
            <w:lang w:val="en-US" w:eastAsia="en-US"/>
          </w:rPr>
          <w:tab/>
        </w:r>
        <w:r w:rsidRPr="00542283">
          <w:rPr>
            <w:rStyle w:val="Hyperlink"/>
            <w:noProof/>
            <w:sz w:val="22"/>
            <w:szCs w:val="22"/>
          </w:rPr>
          <w:t>Criteria for Key Staff Selection</w:t>
        </w:r>
        <w:r w:rsidRPr="00542283">
          <w:rPr>
            <w:noProof/>
            <w:webHidden/>
            <w:sz w:val="22"/>
            <w:szCs w:val="22"/>
          </w:rPr>
          <w:tab/>
        </w:r>
        <w:r w:rsidRPr="00542283">
          <w:rPr>
            <w:noProof/>
            <w:webHidden/>
            <w:sz w:val="22"/>
            <w:szCs w:val="22"/>
          </w:rPr>
          <w:fldChar w:fldCharType="begin"/>
        </w:r>
        <w:r w:rsidRPr="00542283">
          <w:rPr>
            <w:noProof/>
            <w:webHidden/>
            <w:sz w:val="22"/>
            <w:szCs w:val="22"/>
          </w:rPr>
          <w:instrText xml:space="preserve"> PAGEREF _Toc212369291 \h </w:instrText>
        </w:r>
        <w:r w:rsidRPr="00542283">
          <w:rPr>
            <w:noProof/>
            <w:webHidden/>
            <w:sz w:val="22"/>
            <w:szCs w:val="22"/>
          </w:rPr>
        </w:r>
        <w:r w:rsidRPr="00542283">
          <w:rPr>
            <w:noProof/>
            <w:webHidden/>
            <w:sz w:val="22"/>
            <w:szCs w:val="22"/>
          </w:rPr>
          <w:fldChar w:fldCharType="separate"/>
        </w:r>
        <w:r w:rsidR="00324369">
          <w:rPr>
            <w:noProof/>
            <w:webHidden/>
            <w:sz w:val="22"/>
            <w:szCs w:val="22"/>
          </w:rPr>
          <w:t>5</w:t>
        </w:r>
        <w:r w:rsidRPr="00542283">
          <w:rPr>
            <w:noProof/>
            <w:webHidden/>
            <w:sz w:val="22"/>
            <w:szCs w:val="22"/>
          </w:rPr>
          <w:fldChar w:fldCharType="end"/>
        </w:r>
      </w:hyperlink>
    </w:p>
    <w:p w14:paraId="4485F49D" w14:textId="63B7E019" w:rsidR="000660F5" w:rsidRPr="00542283" w:rsidRDefault="000660F5">
      <w:pPr>
        <w:pStyle w:val="TOC3"/>
        <w:tabs>
          <w:tab w:val="left" w:pos="960"/>
          <w:tab w:val="right" w:leader="dot" w:pos="9350"/>
        </w:tabs>
        <w:rPr>
          <w:noProof/>
          <w:sz w:val="22"/>
          <w:szCs w:val="22"/>
          <w:lang w:val="en-US" w:eastAsia="en-US"/>
        </w:rPr>
      </w:pPr>
      <w:hyperlink w:anchor="_Toc212369292" w:history="1">
        <w:r w:rsidRPr="00542283">
          <w:rPr>
            <w:rStyle w:val="Hyperlink"/>
            <w:noProof/>
            <w:sz w:val="22"/>
            <w:szCs w:val="22"/>
          </w:rPr>
          <w:t>3.</w:t>
        </w:r>
        <w:r w:rsidRPr="00542283">
          <w:rPr>
            <w:noProof/>
            <w:sz w:val="22"/>
            <w:szCs w:val="22"/>
            <w:lang w:val="en-US" w:eastAsia="en-US"/>
          </w:rPr>
          <w:tab/>
        </w:r>
        <w:r w:rsidRPr="00542283">
          <w:rPr>
            <w:rStyle w:val="Hyperlink"/>
            <w:noProof/>
            <w:sz w:val="22"/>
            <w:szCs w:val="22"/>
          </w:rPr>
          <w:t>Organizational Structure</w:t>
        </w:r>
        <w:r w:rsidRPr="00542283">
          <w:rPr>
            <w:noProof/>
            <w:webHidden/>
            <w:sz w:val="22"/>
            <w:szCs w:val="22"/>
          </w:rPr>
          <w:tab/>
        </w:r>
        <w:r w:rsidRPr="00542283">
          <w:rPr>
            <w:noProof/>
            <w:webHidden/>
            <w:sz w:val="22"/>
            <w:szCs w:val="22"/>
          </w:rPr>
          <w:fldChar w:fldCharType="begin"/>
        </w:r>
        <w:r w:rsidRPr="00542283">
          <w:rPr>
            <w:noProof/>
            <w:webHidden/>
            <w:sz w:val="22"/>
            <w:szCs w:val="22"/>
          </w:rPr>
          <w:instrText xml:space="preserve"> PAGEREF _Toc212369292 \h </w:instrText>
        </w:r>
        <w:r w:rsidRPr="00542283">
          <w:rPr>
            <w:noProof/>
            <w:webHidden/>
            <w:sz w:val="22"/>
            <w:szCs w:val="22"/>
          </w:rPr>
        </w:r>
        <w:r w:rsidRPr="00542283">
          <w:rPr>
            <w:noProof/>
            <w:webHidden/>
            <w:sz w:val="22"/>
            <w:szCs w:val="22"/>
          </w:rPr>
          <w:fldChar w:fldCharType="separate"/>
        </w:r>
        <w:r w:rsidR="00324369">
          <w:rPr>
            <w:noProof/>
            <w:webHidden/>
            <w:sz w:val="22"/>
            <w:szCs w:val="22"/>
          </w:rPr>
          <w:t>7</w:t>
        </w:r>
        <w:r w:rsidRPr="00542283">
          <w:rPr>
            <w:noProof/>
            <w:webHidden/>
            <w:sz w:val="22"/>
            <w:szCs w:val="22"/>
          </w:rPr>
          <w:fldChar w:fldCharType="end"/>
        </w:r>
      </w:hyperlink>
    </w:p>
    <w:p w14:paraId="62061369" w14:textId="139A3AFE" w:rsidR="000660F5" w:rsidRPr="00542283" w:rsidRDefault="000660F5">
      <w:pPr>
        <w:pStyle w:val="TOC3"/>
        <w:tabs>
          <w:tab w:val="left" w:pos="960"/>
          <w:tab w:val="right" w:leader="dot" w:pos="9350"/>
        </w:tabs>
        <w:rPr>
          <w:noProof/>
          <w:sz w:val="22"/>
          <w:szCs w:val="22"/>
          <w:lang w:val="en-US" w:eastAsia="en-US"/>
        </w:rPr>
      </w:pPr>
      <w:hyperlink w:anchor="_Toc212369293" w:history="1">
        <w:r w:rsidRPr="00542283">
          <w:rPr>
            <w:rStyle w:val="Hyperlink"/>
            <w:noProof/>
            <w:sz w:val="22"/>
            <w:szCs w:val="22"/>
          </w:rPr>
          <w:t>4.</w:t>
        </w:r>
        <w:r w:rsidRPr="00542283">
          <w:rPr>
            <w:noProof/>
            <w:sz w:val="22"/>
            <w:szCs w:val="22"/>
            <w:lang w:val="en-US" w:eastAsia="en-US"/>
          </w:rPr>
          <w:tab/>
        </w:r>
        <w:r w:rsidRPr="00542283">
          <w:rPr>
            <w:rStyle w:val="Hyperlink"/>
            <w:noProof/>
            <w:sz w:val="22"/>
            <w:szCs w:val="22"/>
          </w:rPr>
          <w:t>Staffing Lifecycle</w:t>
        </w:r>
        <w:r w:rsidRPr="00542283">
          <w:rPr>
            <w:noProof/>
            <w:webHidden/>
            <w:sz w:val="22"/>
            <w:szCs w:val="22"/>
          </w:rPr>
          <w:tab/>
        </w:r>
        <w:r w:rsidRPr="00542283">
          <w:rPr>
            <w:noProof/>
            <w:webHidden/>
            <w:sz w:val="22"/>
            <w:szCs w:val="22"/>
          </w:rPr>
          <w:fldChar w:fldCharType="begin"/>
        </w:r>
        <w:r w:rsidRPr="00542283">
          <w:rPr>
            <w:noProof/>
            <w:webHidden/>
            <w:sz w:val="22"/>
            <w:szCs w:val="22"/>
          </w:rPr>
          <w:instrText xml:space="preserve"> PAGEREF _Toc212369293 \h </w:instrText>
        </w:r>
        <w:r w:rsidRPr="00542283">
          <w:rPr>
            <w:noProof/>
            <w:webHidden/>
            <w:sz w:val="22"/>
            <w:szCs w:val="22"/>
          </w:rPr>
        </w:r>
        <w:r w:rsidRPr="00542283">
          <w:rPr>
            <w:noProof/>
            <w:webHidden/>
            <w:sz w:val="22"/>
            <w:szCs w:val="22"/>
          </w:rPr>
          <w:fldChar w:fldCharType="separate"/>
        </w:r>
        <w:r w:rsidR="00324369">
          <w:rPr>
            <w:noProof/>
            <w:webHidden/>
            <w:sz w:val="22"/>
            <w:szCs w:val="22"/>
          </w:rPr>
          <w:t>8</w:t>
        </w:r>
        <w:r w:rsidRPr="00542283">
          <w:rPr>
            <w:noProof/>
            <w:webHidden/>
            <w:sz w:val="22"/>
            <w:szCs w:val="22"/>
          </w:rPr>
          <w:fldChar w:fldCharType="end"/>
        </w:r>
      </w:hyperlink>
    </w:p>
    <w:p w14:paraId="1E237DF6" w14:textId="10588BAE" w:rsidR="000660F5" w:rsidRPr="00542283" w:rsidRDefault="000660F5">
      <w:pPr>
        <w:pStyle w:val="TOC3"/>
        <w:tabs>
          <w:tab w:val="left" w:pos="960"/>
          <w:tab w:val="right" w:leader="dot" w:pos="9350"/>
        </w:tabs>
        <w:rPr>
          <w:noProof/>
          <w:sz w:val="22"/>
          <w:szCs w:val="22"/>
          <w:lang w:val="en-US" w:eastAsia="en-US"/>
        </w:rPr>
      </w:pPr>
      <w:hyperlink w:anchor="_Toc212369294" w:history="1">
        <w:r w:rsidRPr="00542283">
          <w:rPr>
            <w:rStyle w:val="Hyperlink"/>
            <w:noProof/>
            <w:sz w:val="22"/>
            <w:szCs w:val="22"/>
          </w:rPr>
          <w:t>5.</w:t>
        </w:r>
        <w:r w:rsidRPr="00542283">
          <w:rPr>
            <w:noProof/>
            <w:sz w:val="22"/>
            <w:szCs w:val="22"/>
            <w:lang w:val="en-US" w:eastAsia="en-US"/>
          </w:rPr>
          <w:tab/>
        </w:r>
        <w:r w:rsidRPr="00542283">
          <w:rPr>
            <w:rStyle w:val="Hyperlink"/>
            <w:noProof/>
            <w:sz w:val="22"/>
            <w:szCs w:val="22"/>
          </w:rPr>
          <w:t>Team Structure</w:t>
        </w:r>
        <w:r w:rsidRPr="00542283">
          <w:rPr>
            <w:noProof/>
            <w:webHidden/>
            <w:sz w:val="22"/>
            <w:szCs w:val="22"/>
          </w:rPr>
          <w:tab/>
        </w:r>
        <w:r w:rsidRPr="00542283">
          <w:rPr>
            <w:noProof/>
            <w:webHidden/>
            <w:sz w:val="22"/>
            <w:szCs w:val="22"/>
          </w:rPr>
          <w:fldChar w:fldCharType="begin"/>
        </w:r>
        <w:r w:rsidRPr="00542283">
          <w:rPr>
            <w:noProof/>
            <w:webHidden/>
            <w:sz w:val="22"/>
            <w:szCs w:val="22"/>
          </w:rPr>
          <w:instrText xml:space="preserve"> PAGEREF _Toc212369294 \h </w:instrText>
        </w:r>
        <w:r w:rsidRPr="00542283">
          <w:rPr>
            <w:noProof/>
            <w:webHidden/>
            <w:sz w:val="22"/>
            <w:szCs w:val="22"/>
          </w:rPr>
        </w:r>
        <w:r w:rsidRPr="00542283">
          <w:rPr>
            <w:noProof/>
            <w:webHidden/>
            <w:sz w:val="22"/>
            <w:szCs w:val="22"/>
          </w:rPr>
          <w:fldChar w:fldCharType="separate"/>
        </w:r>
        <w:r w:rsidR="00324369">
          <w:rPr>
            <w:noProof/>
            <w:webHidden/>
            <w:sz w:val="22"/>
            <w:szCs w:val="22"/>
          </w:rPr>
          <w:t>12</w:t>
        </w:r>
        <w:r w:rsidRPr="00542283">
          <w:rPr>
            <w:noProof/>
            <w:webHidden/>
            <w:sz w:val="22"/>
            <w:szCs w:val="22"/>
          </w:rPr>
          <w:fldChar w:fldCharType="end"/>
        </w:r>
      </w:hyperlink>
    </w:p>
    <w:p w14:paraId="52A3FF89" w14:textId="21BCCE82" w:rsidR="000660F5" w:rsidRDefault="000660F5" w:rsidP="00324FAA">
      <w:pPr>
        <w:pStyle w:val="TOC2"/>
        <w:rPr>
          <w:rFonts w:eastAsiaTheme="minorEastAsia"/>
          <w:kern w:val="2"/>
          <w:sz w:val="24"/>
          <w:szCs w:val="24"/>
          <w14:ligatures w14:val="standardContextual"/>
        </w:rPr>
      </w:pPr>
      <w:hyperlink w:anchor="_Toc212369295" w:history="1">
        <w:r w:rsidRPr="00BD6D3C">
          <w:rPr>
            <w:rStyle w:val="Hyperlink"/>
          </w:rPr>
          <w:t>6.3.3.5.2 Staffing Experience Details</w:t>
        </w:r>
        <w:r>
          <w:rPr>
            <w:webHidden/>
          </w:rPr>
          <w:tab/>
        </w:r>
        <w:r>
          <w:rPr>
            <w:webHidden/>
          </w:rPr>
          <w:fldChar w:fldCharType="begin"/>
        </w:r>
        <w:r>
          <w:rPr>
            <w:webHidden/>
          </w:rPr>
          <w:instrText xml:space="preserve"> PAGEREF _Toc212369295 \h </w:instrText>
        </w:r>
        <w:r>
          <w:rPr>
            <w:webHidden/>
          </w:rPr>
        </w:r>
        <w:r>
          <w:rPr>
            <w:webHidden/>
          </w:rPr>
          <w:fldChar w:fldCharType="separate"/>
        </w:r>
        <w:r w:rsidR="00324369">
          <w:rPr>
            <w:webHidden/>
          </w:rPr>
          <w:t>14</w:t>
        </w:r>
        <w:r>
          <w:rPr>
            <w:webHidden/>
          </w:rPr>
          <w:fldChar w:fldCharType="end"/>
        </w:r>
      </w:hyperlink>
    </w:p>
    <w:p w14:paraId="788F1B4F" w14:textId="55024562" w:rsidR="000660F5" w:rsidRPr="00542283" w:rsidRDefault="000660F5">
      <w:pPr>
        <w:pStyle w:val="TOC3"/>
        <w:tabs>
          <w:tab w:val="left" w:pos="960"/>
          <w:tab w:val="right" w:leader="dot" w:pos="9350"/>
        </w:tabs>
        <w:rPr>
          <w:noProof/>
          <w:sz w:val="22"/>
          <w:szCs w:val="22"/>
          <w:lang w:val="en-US" w:eastAsia="en-US"/>
        </w:rPr>
      </w:pPr>
      <w:hyperlink w:anchor="_Toc212369296" w:history="1">
        <w:r w:rsidRPr="00542283">
          <w:rPr>
            <w:rStyle w:val="Hyperlink"/>
            <w:noProof/>
            <w:sz w:val="22"/>
            <w:szCs w:val="22"/>
          </w:rPr>
          <w:t>6.</w:t>
        </w:r>
        <w:r w:rsidRPr="00542283">
          <w:rPr>
            <w:noProof/>
            <w:sz w:val="22"/>
            <w:szCs w:val="22"/>
            <w:lang w:val="en-US" w:eastAsia="en-US"/>
          </w:rPr>
          <w:tab/>
        </w:r>
        <w:r w:rsidRPr="00542283">
          <w:rPr>
            <w:rStyle w:val="Hyperlink"/>
            <w:noProof/>
            <w:sz w:val="22"/>
            <w:szCs w:val="22"/>
          </w:rPr>
          <w:t>Attachment 10: Key Staff Qualifications</w:t>
        </w:r>
        <w:r w:rsidRPr="00542283">
          <w:rPr>
            <w:noProof/>
            <w:webHidden/>
            <w:sz w:val="22"/>
            <w:szCs w:val="22"/>
          </w:rPr>
          <w:tab/>
        </w:r>
        <w:r w:rsidRPr="00542283">
          <w:rPr>
            <w:noProof/>
            <w:webHidden/>
            <w:sz w:val="22"/>
            <w:szCs w:val="22"/>
          </w:rPr>
          <w:fldChar w:fldCharType="begin"/>
        </w:r>
        <w:r w:rsidRPr="00542283">
          <w:rPr>
            <w:noProof/>
            <w:webHidden/>
            <w:sz w:val="22"/>
            <w:szCs w:val="22"/>
          </w:rPr>
          <w:instrText xml:space="preserve"> PAGEREF _Toc212369296 \h </w:instrText>
        </w:r>
        <w:r w:rsidRPr="00542283">
          <w:rPr>
            <w:noProof/>
            <w:webHidden/>
            <w:sz w:val="22"/>
            <w:szCs w:val="22"/>
          </w:rPr>
        </w:r>
        <w:r w:rsidRPr="00542283">
          <w:rPr>
            <w:noProof/>
            <w:webHidden/>
            <w:sz w:val="22"/>
            <w:szCs w:val="22"/>
          </w:rPr>
          <w:fldChar w:fldCharType="separate"/>
        </w:r>
        <w:r w:rsidR="00324369">
          <w:rPr>
            <w:noProof/>
            <w:webHidden/>
            <w:sz w:val="22"/>
            <w:szCs w:val="22"/>
          </w:rPr>
          <w:t>14</w:t>
        </w:r>
        <w:r w:rsidRPr="00542283">
          <w:rPr>
            <w:noProof/>
            <w:webHidden/>
            <w:sz w:val="22"/>
            <w:szCs w:val="22"/>
          </w:rPr>
          <w:fldChar w:fldCharType="end"/>
        </w:r>
      </w:hyperlink>
    </w:p>
    <w:p w14:paraId="25179F29" w14:textId="71A0AD8C" w:rsidR="000660F5" w:rsidRPr="00542283" w:rsidRDefault="000660F5">
      <w:pPr>
        <w:pStyle w:val="TOC3"/>
        <w:tabs>
          <w:tab w:val="right" w:leader="dot" w:pos="9350"/>
        </w:tabs>
        <w:rPr>
          <w:noProof/>
          <w:sz w:val="22"/>
          <w:szCs w:val="22"/>
          <w:lang w:val="en-US" w:eastAsia="en-US"/>
        </w:rPr>
      </w:pPr>
      <w:hyperlink w:anchor="_Toc212369297" w:history="1">
        <w:r w:rsidRPr="00542283">
          <w:rPr>
            <w:rStyle w:val="Hyperlink"/>
            <w:noProof/>
            <w:sz w:val="22"/>
            <w:szCs w:val="22"/>
          </w:rPr>
          <w:t>Attachment 11: Staff Reference Checks</w:t>
        </w:r>
        <w:r w:rsidRPr="00542283">
          <w:rPr>
            <w:noProof/>
            <w:webHidden/>
            <w:sz w:val="22"/>
            <w:szCs w:val="22"/>
          </w:rPr>
          <w:tab/>
        </w:r>
        <w:r w:rsidRPr="00542283">
          <w:rPr>
            <w:noProof/>
            <w:webHidden/>
            <w:sz w:val="22"/>
            <w:szCs w:val="22"/>
          </w:rPr>
          <w:fldChar w:fldCharType="begin"/>
        </w:r>
        <w:r w:rsidRPr="00542283">
          <w:rPr>
            <w:noProof/>
            <w:webHidden/>
            <w:sz w:val="22"/>
            <w:szCs w:val="22"/>
          </w:rPr>
          <w:instrText xml:space="preserve"> PAGEREF _Toc212369297 \h </w:instrText>
        </w:r>
        <w:r w:rsidRPr="00542283">
          <w:rPr>
            <w:noProof/>
            <w:webHidden/>
            <w:sz w:val="22"/>
            <w:szCs w:val="22"/>
          </w:rPr>
        </w:r>
        <w:r w:rsidRPr="00542283">
          <w:rPr>
            <w:noProof/>
            <w:webHidden/>
            <w:sz w:val="22"/>
            <w:szCs w:val="22"/>
          </w:rPr>
          <w:fldChar w:fldCharType="separate"/>
        </w:r>
        <w:r w:rsidR="00324369">
          <w:rPr>
            <w:noProof/>
            <w:webHidden/>
            <w:sz w:val="22"/>
            <w:szCs w:val="22"/>
          </w:rPr>
          <w:t>15</w:t>
        </w:r>
        <w:r w:rsidRPr="00542283">
          <w:rPr>
            <w:noProof/>
            <w:webHidden/>
            <w:sz w:val="22"/>
            <w:szCs w:val="22"/>
          </w:rPr>
          <w:fldChar w:fldCharType="end"/>
        </w:r>
      </w:hyperlink>
    </w:p>
    <w:p w14:paraId="1641AC4F" w14:textId="69C40FFE" w:rsidR="000660F5" w:rsidRPr="00542283" w:rsidRDefault="000660F5">
      <w:pPr>
        <w:pStyle w:val="TOC3"/>
        <w:tabs>
          <w:tab w:val="left" w:pos="960"/>
          <w:tab w:val="right" w:leader="dot" w:pos="9350"/>
        </w:tabs>
        <w:rPr>
          <w:noProof/>
          <w:sz w:val="22"/>
          <w:szCs w:val="22"/>
          <w:lang w:val="en-US" w:eastAsia="en-US"/>
        </w:rPr>
      </w:pPr>
      <w:hyperlink w:anchor="_Toc212369298" w:history="1">
        <w:r w:rsidRPr="00542283">
          <w:rPr>
            <w:rStyle w:val="Hyperlink"/>
            <w:noProof/>
            <w:sz w:val="22"/>
            <w:szCs w:val="22"/>
          </w:rPr>
          <w:t>7.</w:t>
        </w:r>
        <w:r w:rsidRPr="00542283">
          <w:rPr>
            <w:noProof/>
            <w:sz w:val="22"/>
            <w:szCs w:val="22"/>
            <w:lang w:val="en-US" w:eastAsia="en-US"/>
          </w:rPr>
          <w:tab/>
        </w:r>
        <w:r w:rsidRPr="00542283">
          <w:rPr>
            <w:rStyle w:val="Hyperlink"/>
            <w:noProof/>
            <w:sz w:val="22"/>
            <w:szCs w:val="22"/>
          </w:rPr>
          <w:t>Risk Identification and Mitigation</w:t>
        </w:r>
        <w:r w:rsidRPr="00542283">
          <w:rPr>
            <w:noProof/>
            <w:webHidden/>
            <w:sz w:val="22"/>
            <w:szCs w:val="22"/>
          </w:rPr>
          <w:tab/>
        </w:r>
        <w:r w:rsidRPr="00542283">
          <w:rPr>
            <w:noProof/>
            <w:webHidden/>
            <w:sz w:val="22"/>
            <w:szCs w:val="22"/>
          </w:rPr>
          <w:fldChar w:fldCharType="begin"/>
        </w:r>
        <w:r w:rsidRPr="00542283">
          <w:rPr>
            <w:noProof/>
            <w:webHidden/>
            <w:sz w:val="22"/>
            <w:szCs w:val="22"/>
          </w:rPr>
          <w:instrText xml:space="preserve"> PAGEREF _Toc212369298 \h </w:instrText>
        </w:r>
        <w:r w:rsidRPr="00542283">
          <w:rPr>
            <w:noProof/>
            <w:webHidden/>
            <w:sz w:val="22"/>
            <w:szCs w:val="22"/>
          </w:rPr>
        </w:r>
        <w:r w:rsidRPr="00542283">
          <w:rPr>
            <w:noProof/>
            <w:webHidden/>
            <w:sz w:val="22"/>
            <w:szCs w:val="22"/>
          </w:rPr>
          <w:fldChar w:fldCharType="separate"/>
        </w:r>
        <w:r w:rsidR="00324369">
          <w:rPr>
            <w:noProof/>
            <w:webHidden/>
            <w:sz w:val="22"/>
            <w:szCs w:val="22"/>
          </w:rPr>
          <w:t>21</w:t>
        </w:r>
        <w:r w:rsidRPr="00542283">
          <w:rPr>
            <w:noProof/>
            <w:webHidden/>
            <w:sz w:val="22"/>
            <w:szCs w:val="22"/>
          </w:rPr>
          <w:fldChar w:fldCharType="end"/>
        </w:r>
      </w:hyperlink>
    </w:p>
    <w:p w14:paraId="707BFFF4" w14:textId="0720C9C5" w:rsidR="000660F5" w:rsidRPr="00542283" w:rsidRDefault="000660F5">
      <w:pPr>
        <w:pStyle w:val="TOC3"/>
        <w:tabs>
          <w:tab w:val="left" w:pos="960"/>
          <w:tab w:val="right" w:leader="dot" w:pos="9350"/>
        </w:tabs>
        <w:rPr>
          <w:noProof/>
          <w:sz w:val="22"/>
          <w:szCs w:val="22"/>
          <w:lang w:val="en-US" w:eastAsia="en-US"/>
        </w:rPr>
      </w:pPr>
      <w:hyperlink w:anchor="_Toc212369299" w:history="1">
        <w:r w:rsidRPr="00542283">
          <w:rPr>
            <w:rStyle w:val="Hyperlink"/>
            <w:noProof/>
            <w:sz w:val="22"/>
            <w:szCs w:val="22"/>
          </w:rPr>
          <w:t>8.</w:t>
        </w:r>
        <w:r w:rsidRPr="00542283">
          <w:rPr>
            <w:noProof/>
            <w:sz w:val="22"/>
            <w:szCs w:val="22"/>
            <w:lang w:val="en-US" w:eastAsia="en-US"/>
          </w:rPr>
          <w:tab/>
        </w:r>
        <w:r w:rsidRPr="00542283">
          <w:rPr>
            <w:rStyle w:val="Hyperlink"/>
            <w:noProof/>
            <w:sz w:val="22"/>
            <w:szCs w:val="22"/>
          </w:rPr>
          <w:t>Conclusion:</w:t>
        </w:r>
        <w:r w:rsidRPr="00542283">
          <w:rPr>
            <w:noProof/>
            <w:webHidden/>
            <w:sz w:val="22"/>
            <w:szCs w:val="22"/>
          </w:rPr>
          <w:tab/>
        </w:r>
        <w:r w:rsidRPr="00542283">
          <w:rPr>
            <w:noProof/>
            <w:webHidden/>
            <w:sz w:val="22"/>
            <w:szCs w:val="22"/>
          </w:rPr>
          <w:fldChar w:fldCharType="begin"/>
        </w:r>
        <w:r w:rsidRPr="00542283">
          <w:rPr>
            <w:noProof/>
            <w:webHidden/>
            <w:sz w:val="22"/>
            <w:szCs w:val="22"/>
          </w:rPr>
          <w:instrText xml:space="preserve"> PAGEREF _Toc212369299 \h </w:instrText>
        </w:r>
        <w:r w:rsidRPr="00542283">
          <w:rPr>
            <w:noProof/>
            <w:webHidden/>
            <w:sz w:val="22"/>
            <w:szCs w:val="22"/>
          </w:rPr>
        </w:r>
        <w:r w:rsidRPr="00542283">
          <w:rPr>
            <w:noProof/>
            <w:webHidden/>
            <w:sz w:val="22"/>
            <w:szCs w:val="22"/>
          </w:rPr>
          <w:fldChar w:fldCharType="separate"/>
        </w:r>
        <w:r w:rsidR="00324369">
          <w:rPr>
            <w:noProof/>
            <w:webHidden/>
            <w:sz w:val="22"/>
            <w:szCs w:val="22"/>
          </w:rPr>
          <w:t>23</w:t>
        </w:r>
        <w:r w:rsidRPr="00542283">
          <w:rPr>
            <w:noProof/>
            <w:webHidden/>
            <w:sz w:val="22"/>
            <w:szCs w:val="22"/>
          </w:rPr>
          <w:fldChar w:fldCharType="end"/>
        </w:r>
      </w:hyperlink>
    </w:p>
    <w:p w14:paraId="601728C0" w14:textId="02D593F9" w:rsidR="000660F5" w:rsidRPr="00542283" w:rsidRDefault="000660F5">
      <w:pPr>
        <w:pStyle w:val="TOC3"/>
        <w:tabs>
          <w:tab w:val="right" w:leader="dot" w:pos="9350"/>
        </w:tabs>
        <w:rPr>
          <w:noProof/>
          <w:sz w:val="22"/>
          <w:szCs w:val="22"/>
          <w:lang w:val="en-US" w:eastAsia="en-US"/>
        </w:rPr>
      </w:pPr>
      <w:hyperlink w:anchor="_Toc212369300" w:history="1">
        <w:r w:rsidRPr="00542283">
          <w:rPr>
            <w:rStyle w:val="Hyperlink"/>
            <w:noProof/>
            <w:sz w:val="22"/>
            <w:szCs w:val="22"/>
          </w:rPr>
          <w:t>Attachment 12: Staff Loading Schedule</w:t>
        </w:r>
        <w:r w:rsidRPr="00542283">
          <w:rPr>
            <w:noProof/>
            <w:webHidden/>
            <w:sz w:val="22"/>
            <w:szCs w:val="22"/>
          </w:rPr>
          <w:tab/>
        </w:r>
        <w:r w:rsidRPr="00542283">
          <w:rPr>
            <w:noProof/>
            <w:webHidden/>
            <w:sz w:val="22"/>
            <w:szCs w:val="22"/>
          </w:rPr>
          <w:fldChar w:fldCharType="begin"/>
        </w:r>
        <w:r w:rsidRPr="00542283">
          <w:rPr>
            <w:noProof/>
            <w:webHidden/>
            <w:sz w:val="22"/>
            <w:szCs w:val="22"/>
          </w:rPr>
          <w:instrText xml:space="preserve"> PAGEREF _Toc212369300 \h </w:instrText>
        </w:r>
        <w:r w:rsidRPr="00542283">
          <w:rPr>
            <w:noProof/>
            <w:webHidden/>
            <w:sz w:val="22"/>
            <w:szCs w:val="22"/>
          </w:rPr>
        </w:r>
        <w:r w:rsidRPr="00542283">
          <w:rPr>
            <w:noProof/>
            <w:webHidden/>
            <w:sz w:val="22"/>
            <w:szCs w:val="22"/>
          </w:rPr>
          <w:fldChar w:fldCharType="separate"/>
        </w:r>
        <w:r w:rsidR="00324369">
          <w:rPr>
            <w:noProof/>
            <w:webHidden/>
            <w:sz w:val="22"/>
            <w:szCs w:val="22"/>
          </w:rPr>
          <w:t>24</w:t>
        </w:r>
        <w:r w:rsidRPr="00542283">
          <w:rPr>
            <w:noProof/>
            <w:webHidden/>
            <w:sz w:val="22"/>
            <w:szCs w:val="22"/>
          </w:rPr>
          <w:fldChar w:fldCharType="end"/>
        </w:r>
      </w:hyperlink>
    </w:p>
    <w:p w14:paraId="72CEF089" w14:textId="73834A5A" w:rsidR="00607B99" w:rsidRDefault="000660F5">
      <w:r>
        <w:fldChar w:fldCharType="end"/>
      </w:r>
    </w:p>
    <w:p w14:paraId="6511D4B3" w14:textId="3F52AD56" w:rsidR="00542283" w:rsidRDefault="00542283" w:rsidP="00542283">
      <w:pPr>
        <w:pStyle w:val="PHeading1"/>
        <w:spacing w:before="120" w:after="120"/>
      </w:pPr>
      <w:r>
        <w:t>Table of Figures</w:t>
      </w:r>
    </w:p>
    <w:p w14:paraId="5CE80CED" w14:textId="70392359" w:rsidR="00542283" w:rsidRPr="00542283" w:rsidRDefault="00542283">
      <w:pPr>
        <w:pStyle w:val="TOC1"/>
        <w:rPr>
          <w:rFonts w:eastAsiaTheme="minorEastAsia"/>
          <w:b w:val="0"/>
          <w:bCs w:val="0"/>
          <w:kern w:val="2"/>
          <w:sz w:val="24"/>
          <w:szCs w:val="24"/>
          <w14:ligatures w14:val="standardContextual"/>
        </w:rPr>
      </w:pPr>
      <w:r w:rsidRPr="00542283">
        <w:rPr>
          <w:b w:val="0"/>
          <w:bCs w:val="0"/>
        </w:rPr>
        <w:fldChar w:fldCharType="begin"/>
      </w:r>
      <w:r w:rsidRPr="00542283">
        <w:rPr>
          <w:b w:val="0"/>
          <w:bCs w:val="0"/>
        </w:rPr>
        <w:instrText xml:space="preserve"> TOC \h \z \t "Caption Figure,1" </w:instrText>
      </w:r>
      <w:r w:rsidRPr="00542283">
        <w:rPr>
          <w:b w:val="0"/>
          <w:bCs w:val="0"/>
        </w:rPr>
        <w:fldChar w:fldCharType="separate"/>
      </w:r>
      <w:hyperlink w:anchor="_Toc212409053" w:history="1">
        <w:r w:rsidRPr="00542283">
          <w:rPr>
            <w:rStyle w:val="Hyperlink"/>
            <w:b w:val="0"/>
            <w:bCs w:val="0"/>
          </w:rPr>
          <w:t>Figure 1. Organization Chart</w:t>
        </w:r>
        <w:r w:rsidRPr="00542283">
          <w:rPr>
            <w:b w:val="0"/>
            <w:bCs w:val="0"/>
            <w:webHidden/>
          </w:rPr>
          <w:tab/>
        </w:r>
        <w:r w:rsidRPr="00542283">
          <w:rPr>
            <w:b w:val="0"/>
            <w:bCs w:val="0"/>
            <w:webHidden/>
          </w:rPr>
          <w:fldChar w:fldCharType="begin"/>
        </w:r>
        <w:r w:rsidRPr="00542283">
          <w:rPr>
            <w:b w:val="0"/>
            <w:bCs w:val="0"/>
            <w:webHidden/>
          </w:rPr>
          <w:instrText xml:space="preserve"> PAGEREF _Toc212409053 \h </w:instrText>
        </w:r>
        <w:r w:rsidRPr="00542283">
          <w:rPr>
            <w:b w:val="0"/>
            <w:bCs w:val="0"/>
            <w:webHidden/>
          </w:rPr>
        </w:r>
        <w:r w:rsidRPr="00542283">
          <w:rPr>
            <w:b w:val="0"/>
            <w:bCs w:val="0"/>
            <w:webHidden/>
          </w:rPr>
          <w:fldChar w:fldCharType="separate"/>
        </w:r>
        <w:r w:rsidR="00324369">
          <w:rPr>
            <w:b w:val="0"/>
            <w:bCs w:val="0"/>
            <w:webHidden/>
          </w:rPr>
          <w:t>7</w:t>
        </w:r>
        <w:r w:rsidRPr="00542283">
          <w:rPr>
            <w:b w:val="0"/>
            <w:bCs w:val="0"/>
            <w:webHidden/>
          </w:rPr>
          <w:fldChar w:fldCharType="end"/>
        </w:r>
      </w:hyperlink>
    </w:p>
    <w:p w14:paraId="7E9DAA22" w14:textId="38068B28" w:rsidR="00542283" w:rsidRDefault="00542283">
      <w:r w:rsidRPr="00542283">
        <w:fldChar w:fldCharType="end"/>
      </w:r>
    </w:p>
    <w:p w14:paraId="460D1148" w14:textId="11E3C137" w:rsidR="00542283" w:rsidRDefault="00542283" w:rsidP="00542283">
      <w:pPr>
        <w:pStyle w:val="PHeading1"/>
        <w:spacing w:before="120" w:after="120"/>
      </w:pPr>
      <w:r>
        <w:t>Table of Tables</w:t>
      </w:r>
    </w:p>
    <w:p w14:paraId="38430988" w14:textId="415B9E48" w:rsidR="00542283" w:rsidRPr="00542283" w:rsidRDefault="00542283">
      <w:pPr>
        <w:pStyle w:val="TOC1"/>
        <w:rPr>
          <w:rFonts w:eastAsiaTheme="minorEastAsia"/>
          <w:b w:val="0"/>
          <w:bCs w:val="0"/>
          <w:kern w:val="2"/>
          <w:sz w:val="24"/>
          <w:szCs w:val="24"/>
          <w14:ligatures w14:val="standardContextual"/>
        </w:rPr>
      </w:pPr>
      <w:r>
        <w:fldChar w:fldCharType="begin"/>
      </w:r>
      <w:r>
        <w:instrText xml:space="preserve"> TOC \h \z \t "Caption,1" </w:instrText>
      </w:r>
      <w:r>
        <w:fldChar w:fldCharType="separate"/>
      </w:r>
      <w:hyperlink w:anchor="_Toc212409115" w:history="1">
        <w:r w:rsidRPr="00542283">
          <w:rPr>
            <w:rStyle w:val="Hyperlink"/>
            <w:b w:val="0"/>
            <w:bCs w:val="0"/>
          </w:rPr>
          <w:t>Table 1. Key Staff Selection Criteria</w:t>
        </w:r>
        <w:r w:rsidRPr="00542283">
          <w:rPr>
            <w:b w:val="0"/>
            <w:bCs w:val="0"/>
            <w:webHidden/>
          </w:rPr>
          <w:tab/>
        </w:r>
        <w:r w:rsidRPr="00542283">
          <w:rPr>
            <w:b w:val="0"/>
            <w:bCs w:val="0"/>
            <w:webHidden/>
          </w:rPr>
          <w:fldChar w:fldCharType="begin"/>
        </w:r>
        <w:r w:rsidRPr="00542283">
          <w:rPr>
            <w:b w:val="0"/>
            <w:bCs w:val="0"/>
            <w:webHidden/>
          </w:rPr>
          <w:instrText xml:space="preserve"> PAGEREF _Toc212409115 \h </w:instrText>
        </w:r>
        <w:r w:rsidRPr="00542283">
          <w:rPr>
            <w:b w:val="0"/>
            <w:bCs w:val="0"/>
            <w:webHidden/>
          </w:rPr>
        </w:r>
        <w:r w:rsidRPr="00542283">
          <w:rPr>
            <w:b w:val="0"/>
            <w:bCs w:val="0"/>
            <w:webHidden/>
          </w:rPr>
          <w:fldChar w:fldCharType="separate"/>
        </w:r>
        <w:r w:rsidR="00324369">
          <w:rPr>
            <w:b w:val="0"/>
            <w:bCs w:val="0"/>
            <w:webHidden/>
          </w:rPr>
          <w:t>6</w:t>
        </w:r>
        <w:r w:rsidRPr="00542283">
          <w:rPr>
            <w:b w:val="0"/>
            <w:bCs w:val="0"/>
            <w:webHidden/>
          </w:rPr>
          <w:fldChar w:fldCharType="end"/>
        </w:r>
      </w:hyperlink>
    </w:p>
    <w:p w14:paraId="7ED17574" w14:textId="4DE3528A" w:rsidR="00542283" w:rsidRPr="00542283" w:rsidRDefault="00542283">
      <w:pPr>
        <w:pStyle w:val="TOC1"/>
        <w:rPr>
          <w:rFonts w:eastAsiaTheme="minorEastAsia"/>
          <w:b w:val="0"/>
          <w:bCs w:val="0"/>
          <w:kern w:val="2"/>
          <w:sz w:val="24"/>
          <w:szCs w:val="24"/>
          <w14:ligatures w14:val="standardContextual"/>
        </w:rPr>
      </w:pPr>
      <w:hyperlink w:anchor="_Toc212409116" w:history="1">
        <w:r w:rsidRPr="00542283">
          <w:rPr>
            <w:rStyle w:val="Hyperlink"/>
            <w:b w:val="0"/>
            <w:bCs w:val="0"/>
          </w:rPr>
          <w:t>Table 2. Deliverables</w:t>
        </w:r>
        <w:r w:rsidRPr="00542283">
          <w:rPr>
            <w:b w:val="0"/>
            <w:bCs w:val="0"/>
            <w:webHidden/>
          </w:rPr>
          <w:tab/>
        </w:r>
        <w:r w:rsidRPr="00542283">
          <w:rPr>
            <w:b w:val="0"/>
            <w:bCs w:val="0"/>
            <w:webHidden/>
          </w:rPr>
          <w:fldChar w:fldCharType="begin"/>
        </w:r>
        <w:r w:rsidRPr="00542283">
          <w:rPr>
            <w:b w:val="0"/>
            <w:bCs w:val="0"/>
            <w:webHidden/>
          </w:rPr>
          <w:instrText xml:space="preserve"> PAGEREF _Toc212409116 \h </w:instrText>
        </w:r>
        <w:r w:rsidRPr="00542283">
          <w:rPr>
            <w:b w:val="0"/>
            <w:bCs w:val="0"/>
            <w:webHidden/>
          </w:rPr>
        </w:r>
        <w:r w:rsidRPr="00542283">
          <w:rPr>
            <w:b w:val="0"/>
            <w:bCs w:val="0"/>
            <w:webHidden/>
          </w:rPr>
          <w:fldChar w:fldCharType="separate"/>
        </w:r>
        <w:r w:rsidR="00324369">
          <w:rPr>
            <w:b w:val="0"/>
            <w:bCs w:val="0"/>
            <w:webHidden/>
          </w:rPr>
          <w:t>11</w:t>
        </w:r>
        <w:r w:rsidRPr="00542283">
          <w:rPr>
            <w:b w:val="0"/>
            <w:bCs w:val="0"/>
            <w:webHidden/>
          </w:rPr>
          <w:fldChar w:fldCharType="end"/>
        </w:r>
      </w:hyperlink>
    </w:p>
    <w:p w14:paraId="4493D52E" w14:textId="18055F6D" w:rsidR="00542283" w:rsidRPr="00542283" w:rsidRDefault="00542283">
      <w:pPr>
        <w:pStyle w:val="TOC1"/>
        <w:rPr>
          <w:rFonts w:eastAsiaTheme="minorEastAsia"/>
          <w:b w:val="0"/>
          <w:bCs w:val="0"/>
          <w:kern w:val="2"/>
          <w:sz w:val="24"/>
          <w:szCs w:val="24"/>
          <w14:ligatures w14:val="standardContextual"/>
        </w:rPr>
      </w:pPr>
      <w:hyperlink w:anchor="_Toc212409117" w:history="1">
        <w:r w:rsidRPr="00542283">
          <w:rPr>
            <w:rStyle w:val="Hyperlink"/>
            <w:b w:val="0"/>
            <w:bCs w:val="0"/>
          </w:rPr>
          <w:t>Table 3. Implementation Team Structure</w:t>
        </w:r>
        <w:r w:rsidRPr="00542283">
          <w:rPr>
            <w:b w:val="0"/>
            <w:bCs w:val="0"/>
            <w:webHidden/>
          </w:rPr>
          <w:tab/>
        </w:r>
        <w:r w:rsidRPr="00542283">
          <w:rPr>
            <w:b w:val="0"/>
            <w:bCs w:val="0"/>
            <w:webHidden/>
          </w:rPr>
          <w:fldChar w:fldCharType="begin"/>
        </w:r>
        <w:r w:rsidRPr="00542283">
          <w:rPr>
            <w:b w:val="0"/>
            <w:bCs w:val="0"/>
            <w:webHidden/>
          </w:rPr>
          <w:instrText xml:space="preserve"> PAGEREF _Toc212409117 \h </w:instrText>
        </w:r>
        <w:r w:rsidRPr="00542283">
          <w:rPr>
            <w:b w:val="0"/>
            <w:bCs w:val="0"/>
            <w:webHidden/>
          </w:rPr>
        </w:r>
        <w:r w:rsidRPr="00542283">
          <w:rPr>
            <w:b w:val="0"/>
            <w:bCs w:val="0"/>
            <w:webHidden/>
          </w:rPr>
          <w:fldChar w:fldCharType="separate"/>
        </w:r>
        <w:r w:rsidR="00324369">
          <w:rPr>
            <w:b w:val="0"/>
            <w:bCs w:val="0"/>
            <w:webHidden/>
          </w:rPr>
          <w:t>13</w:t>
        </w:r>
        <w:r w:rsidRPr="00542283">
          <w:rPr>
            <w:b w:val="0"/>
            <w:bCs w:val="0"/>
            <w:webHidden/>
          </w:rPr>
          <w:fldChar w:fldCharType="end"/>
        </w:r>
      </w:hyperlink>
    </w:p>
    <w:p w14:paraId="7666313B" w14:textId="7B4EE3E9" w:rsidR="00542283" w:rsidRPr="00542283" w:rsidRDefault="00542283">
      <w:pPr>
        <w:pStyle w:val="TOC1"/>
        <w:rPr>
          <w:rFonts w:eastAsiaTheme="minorEastAsia"/>
          <w:b w:val="0"/>
          <w:bCs w:val="0"/>
          <w:kern w:val="2"/>
          <w:sz w:val="24"/>
          <w:szCs w:val="24"/>
          <w14:ligatures w14:val="standardContextual"/>
        </w:rPr>
      </w:pPr>
      <w:hyperlink w:anchor="_Toc212409118" w:history="1">
        <w:r w:rsidRPr="00542283">
          <w:rPr>
            <w:rStyle w:val="Hyperlink"/>
            <w:b w:val="0"/>
            <w:bCs w:val="0"/>
          </w:rPr>
          <w:t>Table 4. Role-to-Responsibility Matrix</w:t>
        </w:r>
        <w:r w:rsidRPr="00542283">
          <w:rPr>
            <w:b w:val="0"/>
            <w:bCs w:val="0"/>
            <w:webHidden/>
          </w:rPr>
          <w:tab/>
        </w:r>
        <w:r w:rsidRPr="00542283">
          <w:rPr>
            <w:b w:val="0"/>
            <w:bCs w:val="0"/>
            <w:webHidden/>
          </w:rPr>
          <w:fldChar w:fldCharType="begin"/>
        </w:r>
        <w:r w:rsidRPr="00542283">
          <w:rPr>
            <w:b w:val="0"/>
            <w:bCs w:val="0"/>
            <w:webHidden/>
          </w:rPr>
          <w:instrText xml:space="preserve"> PAGEREF _Toc212409118 \h </w:instrText>
        </w:r>
        <w:r w:rsidRPr="00542283">
          <w:rPr>
            <w:b w:val="0"/>
            <w:bCs w:val="0"/>
            <w:webHidden/>
          </w:rPr>
        </w:r>
        <w:r w:rsidRPr="00542283">
          <w:rPr>
            <w:b w:val="0"/>
            <w:bCs w:val="0"/>
            <w:webHidden/>
          </w:rPr>
          <w:fldChar w:fldCharType="separate"/>
        </w:r>
        <w:r w:rsidR="00324369">
          <w:rPr>
            <w:b w:val="0"/>
            <w:bCs w:val="0"/>
            <w:webHidden/>
          </w:rPr>
          <w:t>15</w:t>
        </w:r>
        <w:r w:rsidRPr="00542283">
          <w:rPr>
            <w:b w:val="0"/>
            <w:bCs w:val="0"/>
            <w:webHidden/>
          </w:rPr>
          <w:fldChar w:fldCharType="end"/>
        </w:r>
      </w:hyperlink>
    </w:p>
    <w:p w14:paraId="497B9760" w14:textId="04FDC664" w:rsidR="00542283" w:rsidRPr="00542283" w:rsidRDefault="00542283">
      <w:pPr>
        <w:pStyle w:val="TOC1"/>
        <w:rPr>
          <w:rFonts w:eastAsiaTheme="minorEastAsia"/>
          <w:b w:val="0"/>
          <w:bCs w:val="0"/>
          <w:kern w:val="2"/>
          <w:sz w:val="24"/>
          <w:szCs w:val="24"/>
          <w14:ligatures w14:val="standardContextual"/>
        </w:rPr>
      </w:pPr>
      <w:hyperlink w:anchor="_Toc212409119" w:history="1">
        <w:r w:rsidRPr="00542283">
          <w:rPr>
            <w:rStyle w:val="Hyperlink"/>
            <w:b w:val="0"/>
            <w:bCs w:val="0"/>
          </w:rPr>
          <w:t>Table 5. Program Level KPIs</w:t>
        </w:r>
        <w:r w:rsidRPr="00542283">
          <w:rPr>
            <w:b w:val="0"/>
            <w:bCs w:val="0"/>
            <w:webHidden/>
          </w:rPr>
          <w:tab/>
        </w:r>
        <w:r w:rsidRPr="00542283">
          <w:rPr>
            <w:b w:val="0"/>
            <w:bCs w:val="0"/>
            <w:webHidden/>
          </w:rPr>
          <w:fldChar w:fldCharType="begin"/>
        </w:r>
        <w:r w:rsidRPr="00542283">
          <w:rPr>
            <w:b w:val="0"/>
            <w:bCs w:val="0"/>
            <w:webHidden/>
          </w:rPr>
          <w:instrText xml:space="preserve"> PAGEREF _Toc212409119 \h </w:instrText>
        </w:r>
        <w:r w:rsidRPr="00542283">
          <w:rPr>
            <w:b w:val="0"/>
            <w:bCs w:val="0"/>
            <w:webHidden/>
          </w:rPr>
        </w:r>
        <w:r w:rsidRPr="00542283">
          <w:rPr>
            <w:b w:val="0"/>
            <w:bCs w:val="0"/>
            <w:webHidden/>
          </w:rPr>
          <w:fldChar w:fldCharType="separate"/>
        </w:r>
        <w:r w:rsidR="00324369">
          <w:rPr>
            <w:b w:val="0"/>
            <w:bCs w:val="0"/>
            <w:webHidden/>
          </w:rPr>
          <w:t>19</w:t>
        </w:r>
        <w:r w:rsidRPr="00542283">
          <w:rPr>
            <w:b w:val="0"/>
            <w:bCs w:val="0"/>
            <w:webHidden/>
          </w:rPr>
          <w:fldChar w:fldCharType="end"/>
        </w:r>
      </w:hyperlink>
    </w:p>
    <w:p w14:paraId="256B09EE" w14:textId="11DC0B6A" w:rsidR="00542283" w:rsidRDefault="00542283">
      <w:pPr>
        <w:pStyle w:val="TOC1"/>
        <w:rPr>
          <w:rFonts w:eastAsiaTheme="minorEastAsia"/>
          <w:b w:val="0"/>
          <w:bCs w:val="0"/>
          <w:kern w:val="2"/>
          <w:sz w:val="24"/>
          <w:szCs w:val="24"/>
          <w14:ligatures w14:val="standardContextual"/>
        </w:rPr>
      </w:pPr>
      <w:hyperlink w:anchor="_Toc212409120" w:history="1">
        <w:r w:rsidRPr="00542283">
          <w:rPr>
            <w:rStyle w:val="Hyperlink"/>
            <w:b w:val="0"/>
            <w:bCs w:val="0"/>
          </w:rPr>
          <w:t>Table 6. Team Level KPIs</w:t>
        </w:r>
        <w:r w:rsidRPr="00542283">
          <w:rPr>
            <w:b w:val="0"/>
            <w:bCs w:val="0"/>
            <w:webHidden/>
          </w:rPr>
          <w:tab/>
        </w:r>
        <w:r w:rsidRPr="00542283">
          <w:rPr>
            <w:b w:val="0"/>
            <w:bCs w:val="0"/>
            <w:webHidden/>
          </w:rPr>
          <w:fldChar w:fldCharType="begin"/>
        </w:r>
        <w:r w:rsidRPr="00542283">
          <w:rPr>
            <w:b w:val="0"/>
            <w:bCs w:val="0"/>
            <w:webHidden/>
          </w:rPr>
          <w:instrText xml:space="preserve"> PAGEREF _Toc212409120 \h </w:instrText>
        </w:r>
        <w:r w:rsidRPr="00542283">
          <w:rPr>
            <w:b w:val="0"/>
            <w:bCs w:val="0"/>
            <w:webHidden/>
          </w:rPr>
        </w:r>
        <w:r w:rsidRPr="00542283">
          <w:rPr>
            <w:b w:val="0"/>
            <w:bCs w:val="0"/>
            <w:webHidden/>
          </w:rPr>
          <w:fldChar w:fldCharType="separate"/>
        </w:r>
        <w:r w:rsidR="00324369">
          <w:rPr>
            <w:b w:val="0"/>
            <w:bCs w:val="0"/>
            <w:webHidden/>
          </w:rPr>
          <w:t>20</w:t>
        </w:r>
        <w:r w:rsidRPr="00542283">
          <w:rPr>
            <w:b w:val="0"/>
            <w:bCs w:val="0"/>
            <w:webHidden/>
          </w:rPr>
          <w:fldChar w:fldCharType="end"/>
        </w:r>
      </w:hyperlink>
    </w:p>
    <w:p w14:paraId="6FA93373" w14:textId="1668B0F3" w:rsidR="00542283" w:rsidRDefault="00542283">
      <w:r>
        <w:fldChar w:fldCharType="end"/>
      </w:r>
    </w:p>
    <w:p w14:paraId="516C7222" w14:textId="0564309A" w:rsidR="002C4B5E" w:rsidRDefault="002C4B5E">
      <w:r>
        <w:br w:type="page"/>
      </w:r>
    </w:p>
    <w:p w14:paraId="7420E6D8" w14:textId="77777777" w:rsidR="00FA0911" w:rsidRPr="00FA0911" w:rsidRDefault="00FA0911" w:rsidP="00FA0911">
      <w:pPr>
        <w:pStyle w:val="PBodytext"/>
        <w:rPr>
          <w:sz w:val="2"/>
          <w:szCs w:val="2"/>
        </w:rPr>
      </w:pPr>
    </w:p>
    <w:bookmarkStart w:id="6" w:name="_Toc212369217"/>
    <w:bookmarkStart w:id="7" w:name="_Toc212369288"/>
    <w:p w14:paraId="639AD001" w14:textId="0327D018" w:rsidR="001D7B23" w:rsidRPr="00FA0911" w:rsidRDefault="00FA0911" w:rsidP="00FA0911">
      <w:pPr>
        <w:pStyle w:val="PHeading1"/>
        <w:keepNext w:val="0"/>
        <w:keepLines w:val="0"/>
        <w:spacing w:before="200"/>
        <w:rPr>
          <w:color w:val="FFFFFF" w:themeColor="background2"/>
        </w:rPr>
      </w:pPr>
      <w:r w:rsidRPr="00FA0911">
        <w:rPr>
          <w:noProof/>
          <w:color w:val="FFFFFF" w:themeColor="background2"/>
        </w:rPr>
        <mc:AlternateContent>
          <mc:Choice Requires="wpg">
            <w:drawing>
              <wp:anchor distT="0" distB="0" distL="114300" distR="114300" simplePos="0" relativeHeight="251662339" behindDoc="1" locked="0" layoutInCell="1" allowOverlap="1" wp14:anchorId="05EBB8D2" wp14:editId="2D57C807">
                <wp:simplePos x="0" y="0"/>
                <wp:positionH relativeFrom="page">
                  <wp:posOffset>12700</wp:posOffset>
                </wp:positionH>
                <wp:positionV relativeFrom="paragraph">
                  <wp:posOffset>-120650</wp:posOffset>
                </wp:positionV>
                <wp:extent cx="5848350" cy="635000"/>
                <wp:effectExtent l="0" t="0" r="0" b="0"/>
                <wp:wrapNone/>
                <wp:docPr id="1518852884" name="Group 2"/>
                <wp:cNvGraphicFramePr/>
                <a:graphic xmlns:a="http://schemas.openxmlformats.org/drawingml/2006/main">
                  <a:graphicData uri="http://schemas.microsoft.com/office/word/2010/wordprocessingGroup">
                    <wpg:wgp>
                      <wpg:cNvGrpSpPr/>
                      <wpg:grpSpPr>
                        <a:xfrm>
                          <a:off x="0" y="0"/>
                          <a:ext cx="5848350" cy="635000"/>
                          <a:chOff x="0" y="0"/>
                          <a:chExt cx="4508389" cy="524647"/>
                        </a:xfrm>
                      </wpg:grpSpPr>
                      <wps:wsp>
                        <wps:cNvPr id="195764945" name="Rectangle 1"/>
                        <wps:cNvSpPr/>
                        <wps:spPr>
                          <a:xfrm>
                            <a:off x="0" y="79513"/>
                            <a:ext cx="4507864" cy="36576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211511" name="Rectangle 1"/>
                        <wps:cNvSpPr/>
                        <wps:spPr>
                          <a:xfrm>
                            <a:off x="0" y="445272"/>
                            <a:ext cx="4507864" cy="79375"/>
                          </a:xfrm>
                          <a:prstGeom prst="rect">
                            <a:avLst/>
                          </a:prstGeom>
                          <a:solidFill>
                            <a:schemeClr val="accent1">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804793" name="Rectangle 1"/>
                        <wps:cNvSpPr/>
                        <wps:spPr>
                          <a:xfrm>
                            <a:off x="0" y="0"/>
                            <a:ext cx="4508389" cy="79513"/>
                          </a:xfrm>
                          <a:prstGeom prst="rect">
                            <a:avLst/>
                          </a:prstGeom>
                          <a:solidFill>
                            <a:schemeClr val="accent1">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A64700B" id="Group 2" o:spid="_x0000_s1026" style="position:absolute;margin-left:1pt;margin-top:-9.5pt;width:460.5pt;height:50pt;z-index:-251654141;mso-position-horizontal-relative:page;mso-width-relative:margin;mso-height-relative:margin" coordsize="45083,5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">
                <v:rect id="Rectangle 1" o:spid="_x0000_s1027" style="position:absolute;top:795;width:45078;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" fillcolor="#7030a0 [3204]" stroked="f" strokeweight="1pt"/>
                <v:rect id="Rectangle 1" o:spid="_x0000_s1028" style="position:absolute;top:4452;width:45078;height: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" fillcolor="#e2d0f1 [660]" stroked="f" strokeweight="1pt"/>
                <v:rect id="Rectangle 1" o:spid="_x0000_s1029" style="position:absolute;width:45083;height: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" fillcolor="#e2d0f1 [660]" stroked="f" strokeweight="1pt"/>
                <w10:wrap anchorx="page"/>
              </v:group>
            </w:pict>
          </mc:Fallback>
        </mc:AlternateContent>
      </w:r>
      <w:r w:rsidR="00C5373A">
        <w:rPr>
          <w:color w:val="FFFFFF" w:themeColor="background2"/>
        </w:rPr>
        <w:t xml:space="preserve">6.3.3.5 </w:t>
      </w:r>
      <w:r w:rsidR="001D7B23" w:rsidRPr="00FA0911">
        <w:rPr>
          <w:color w:val="FFFFFF" w:themeColor="background2"/>
        </w:rPr>
        <w:t xml:space="preserve">Section </w:t>
      </w:r>
      <w:r w:rsidR="00D0222E" w:rsidRPr="00FA0911">
        <w:rPr>
          <w:color w:val="FFFFFF" w:themeColor="background2"/>
        </w:rPr>
        <w:t>3</w:t>
      </w:r>
      <w:r w:rsidR="00C5373A">
        <w:rPr>
          <w:color w:val="FFFFFF" w:themeColor="background2"/>
        </w:rPr>
        <w:t xml:space="preserve"> – </w:t>
      </w:r>
      <w:r w:rsidR="00043745" w:rsidRPr="00FA0911">
        <w:rPr>
          <w:color w:val="FFFFFF" w:themeColor="background2"/>
        </w:rPr>
        <w:t>Staffing Approach</w:t>
      </w:r>
      <w:bookmarkEnd w:id="3"/>
      <w:bookmarkEnd w:id="6"/>
      <w:bookmarkEnd w:id="7"/>
    </w:p>
    <w:p w14:paraId="4E39CB3C" w14:textId="77777777" w:rsidR="00F26AE7" w:rsidRDefault="00F26AE7" w:rsidP="00F26AE7">
      <w:pPr>
        <w:pStyle w:val="PBodytext"/>
      </w:pPr>
      <w:bookmarkStart w:id="8" w:name="_Toc211974004"/>
      <w:bookmarkStart w:id="9" w:name="_Toc212236322"/>
    </w:p>
    <w:tbl>
      <w:tblPr>
        <w:tblW w:w="5000" w:type="pct"/>
        <w:tblInd w:w="-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0"/>
        <w:gridCol w:w="8490"/>
      </w:tblGrid>
      <w:tr w:rsidR="00F26AE7" w:rsidRPr="00F26AE7" w14:paraId="48015481" w14:textId="77777777" w:rsidTr="00BF080F">
        <w:trPr>
          <w:trHeight w:val="300"/>
        </w:trPr>
        <w:tc>
          <w:tcPr>
            <w:tcW w:w="810" w:type="dxa"/>
            <w:tcBorders>
              <w:top w:val="single" w:sz="24" w:space="0" w:color="FFFFFF"/>
              <w:left w:val="single" w:sz="24" w:space="0" w:color="FFFFFF"/>
              <w:bottom w:val="single" w:sz="24" w:space="0" w:color="FFFFFF"/>
              <w:right w:val="single" w:sz="24" w:space="0" w:color="FFFFFF"/>
            </w:tcBorders>
            <w:shd w:val="clear" w:color="auto" w:fill="DDDDDD"/>
            <w:hideMark/>
          </w:tcPr>
          <w:p w14:paraId="39A8E0AC" w14:textId="3D016A4E" w:rsidR="00F26AE7" w:rsidRPr="00BF080F" w:rsidRDefault="00F26AE7" w:rsidP="00BF080F">
            <w:pPr>
              <w:pStyle w:val="PBodytext"/>
              <w:jc w:val="center"/>
              <w:rPr>
                <w:sz w:val="20"/>
                <w:lang w:val="en-GB"/>
              </w:rPr>
            </w:pPr>
            <w:r w:rsidRPr="00BF080F">
              <w:rPr>
                <w:sz w:val="20"/>
              </w:rPr>
              <w:t>Req#</w:t>
            </w:r>
          </w:p>
        </w:tc>
        <w:tc>
          <w:tcPr>
            <w:tcW w:w="8490" w:type="dxa"/>
            <w:tcBorders>
              <w:top w:val="single" w:sz="24" w:space="0" w:color="FFFFFF"/>
              <w:left w:val="single" w:sz="24" w:space="0" w:color="FFFFFF"/>
              <w:bottom w:val="single" w:sz="24" w:space="0" w:color="FFFFFF"/>
              <w:right w:val="single" w:sz="24" w:space="0" w:color="FFFFFF"/>
            </w:tcBorders>
            <w:shd w:val="clear" w:color="auto" w:fill="DDDDDD"/>
            <w:hideMark/>
          </w:tcPr>
          <w:p w14:paraId="1EC0080B" w14:textId="7A57FBD6" w:rsidR="00F26AE7" w:rsidRPr="00BF080F" w:rsidRDefault="00F26AE7" w:rsidP="00BF080F">
            <w:pPr>
              <w:pStyle w:val="PBodytext"/>
              <w:jc w:val="center"/>
              <w:rPr>
                <w:sz w:val="20"/>
                <w:lang w:val="en-GB"/>
              </w:rPr>
            </w:pPr>
            <w:r w:rsidRPr="00BF080F">
              <w:rPr>
                <w:sz w:val="20"/>
              </w:rPr>
              <w:t>Mandatory Qualification</w:t>
            </w:r>
          </w:p>
        </w:tc>
      </w:tr>
      <w:tr w:rsidR="00F26AE7" w:rsidRPr="00F26AE7" w14:paraId="21CC9E8B" w14:textId="77777777" w:rsidTr="00BF080F">
        <w:trPr>
          <w:trHeight w:val="300"/>
        </w:trPr>
        <w:tc>
          <w:tcPr>
            <w:tcW w:w="810" w:type="dxa"/>
            <w:tcBorders>
              <w:top w:val="single" w:sz="24" w:space="0" w:color="FFFFFF"/>
              <w:left w:val="single" w:sz="24" w:space="0" w:color="FFFFFF"/>
              <w:bottom w:val="single" w:sz="24" w:space="0" w:color="FFFFFF"/>
              <w:right w:val="single" w:sz="24" w:space="0" w:color="FFFFFF"/>
            </w:tcBorders>
            <w:shd w:val="clear" w:color="auto" w:fill="DDECEE"/>
            <w:hideMark/>
          </w:tcPr>
          <w:p w14:paraId="7613AFC7" w14:textId="34806723" w:rsidR="00F26AE7" w:rsidRPr="00BF080F" w:rsidRDefault="00F26AE7" w:rsidP="00BF080F">
            <w:pPr>
              <w:pStyle w:val="PBodytext"/>
              <w:ind w:left="60"/>
              <w:rPr>
                <w:sz w:val="20"/>
                <w:lang w:val="en-GB"/>
              </w:rPr>
            </w:pPr>
            <w:r w:rsidRPr="00BF080F">
              <w:rPr>
                <w:sz w:val="20"/>
                <w:lang w:val="en-GB"/>
              </w:rPr>
              <w:t> </w:t>
            </w:r>
            <w:r w:rsidR="00BF080F" w:rsidRPr="00BF080F">
              <w:rPr>
                <w:sz w:val="20"/>
                <w:lang w:val="en-GB"/>
              </w:rPr>
              <w:t>S1</w:t>
            </w:r>
          </w:p>
        </w:tc>
        <w:tc>
          <w:tcPr>
            <w:tcW w:w="8490" w:type="dxa"/>
            <w:tcBorders>
              <w:top w:val="single" w:sz="24" w:space="0" w:color="FFFFFF"/>
              <w:left w:val="single" w:sz="24" w:space="0" w:color="FFFFFF"/>
              <w:bottom w:val="single" w:sz="24" w:space="0" w:color="FFFFFF"/>
              <w:right w:val="single" w:sz="24" w:space="0" w:color="FFFFFF"/>
            </w:tcBorders>
            <w:shd w:val="clear" w:color="auto" w:fill="DDECEE"/>
            <w:hideMark/>
          </w:tcPr>
          <w:p w14:paraId="6C4B5A1B" w14:textId="77777777" w:rsidR="00F26AE7" w:rsidRPr="00BF080F" w:rsidRDefault="00F26AE7" w:rsidP="00F26AE7">
            <w:pPr>
              <w:pStyle w:val="PBodytext"/>
              <w:ind w:left="60"/>
              <w:rPr>
                <w:sz w:val="20"/>
                <w:lang w:val="en-GB"/>
              </w:rPr>
            </w:pPr>
            <w:r w:rsidRPr="00BF080F">
              <w:rPr>
                <w:sz w:val="20"/>
              </w:rPr>
              <w:t>The Bidder will provide a narrative describing the overall Staffing approach to QA Services addressing the Staffing subsections. </w:t>
            </w:r>
            <w:r w:rsidRPr="00BF080F">
              <w:rPr>
                <w:sz w:val="20"/>
                <w:lang w:val="en-GB"/>
              </w:rPr>
              <w:t> </w:t>
            </w:r>
          </w:p>
        </w:tc>
      </w:tr>
    </w:tbl>
    <w:p w14:paraId="61D528CD" w14:textId="0086CB81" w:rsidR="004A5651" w:rsidRPr="00D7354E" w:rsidRDefault="00880503" w:rsidP="006D5FC2">
      <w:pPr>
        <w:pStyle w:val="PSubheading1"/>
        <w:keepNext w:val="0"/>
        <w:keepLines w:val="0"/>
      </w:pPr>
      <w:bookmarkStart w:id="10" w:name="_Toc212369218"/>
      <w:bookmarkStart w:id="11" w:name="_Toc212369289"/>
      <w:r>
        <w:t xml:space="preserve">6.3.3.5.1 </w:t>
      </w:r>
      <w:r w:rsidR="004A5651" w:rsidRPr="00D7354E">
        <w:t>Staffing Approach</w:t>
      </w:r>
      <w:bookmarkEnd w:id="8"/>
      <w:bookmarkEnd w:id="9"/>
      <w:r>
        <w:t xml:space="preserve"> Narrative</w:t>
      </w:r>
      <w:bookmarkEnd w:id="10"/>
      <w:bookmarkEnd w:id="11"/>
    </w:p>
    <w:p w14:paraId="498B319E" w14:textId="27D0F3C5" w:rsidR="004A5651" w:rsidRPr="00A1286F" w:rsidRDefault="004A5651" w:rsidP="00FA0911">
      <w:pPr>
        <w:pStyle w:val="PSubheading2"/>
        <w:keepNext w:val="0"/>
        <w:keepLines w:val="0"/>
        <w:numPr>
          <w:ilvl w:val="0"/>
          <w:numId w:val="11"/>
        </w:numPr>
        <w:ind w:left="360"/>
      </w:pPr>
      <w:bookmarkStart w:id="12" w:name="_Toc209082408"/>
      <w:bookmarkStart w:id="13" w:name="_Toc211632687"/>
      <w:bookmarkStart w:id="14" w:name="_Toc212236323"/>
      <w:bookmarkStart w:id="15" w:name="_Toc212369219"/>
      <w:bookmarkStart w:id="16" w:name="_Toc212369290"/>
      <w:r w:rsidRPr="00A1286F">
        <w:t>Overview</w:t>
      </w:r>
      <w:bookmarkEnd w:id="12"/>
      <w:bookmarkEnd w:id="13"/>
      <w:bookmarkEnd w:id="14"/>
      <w:bookmarkEnd w:id="15"/>
      <w:bookmarkEnd w:id="16"/>
    </w:p>
    <w:p w14:paraId="6B860236" w14:textId="09535FAF" w:rsidR="1F947BF1" w:rsidRPr="00A1286F" w:rsidRDefault="1F947BF1" w:rsidP="00FA0911">
      <w:pPr>
        <w:pStyle w:val="PBodytext"/>
      </w:pPr>
      <w:r w:rsidRPr="00A1286F">
        <w:t>Quadrant Technologies presents this comprehensive Staffing Approach in response to Section 3 of the CalSAWS RFP #01-2025.</w:t>
      </w:r>
    </w:p>
    <w:p w14:paraId="47B1CEF8" w14:textId="38D27B4D" w:rsidR="1F947BF1" w:rsidRPr="00A1286F" w:rsidRDefault="1F947BF1" w:rsidP="00A1286F">
      <w:pPr>
        <w:pStyle w:val="PBodytext"/>
      </w:pPr>
      <w:r w:rsidRPr="00A1286F">
        <w:t>This section articulates the methodology, staffing philosophy, and operational framework through which Quadrant shall provide high-quality, independent Quality Assurance (QA) Services that align precisely with the Consortium’s strategic objectives, contractual requirements, and governance model.</w:t>
      </w:r>
    </w:p>
    <w:p w14:paraId="19F4E982" w14:textId="603E4396" w:rsidR="00F010CE" w:rsidRPr="000668F9" w:rsidRDefault="00F010CE" w:rsidP="00C22EE1">
      <w:pPr>
        <w:pStyle w:val="PSubheading3"/>
      </w:pPr>
      <w:bookmarkStart w:id="17" w:name="_Toc211632688"/>
      <w:bookmarkStart w:id="18" w:name="_Toc212236324"/>
      <w:r>
        <w:t>Purpose an</w:t>
      </w:r>
      <w:r w:rsidRPr="00C22EE1">
        <w:t xml:space="preserve">d </w:t>
      </w:r>
      <w:r>
        <w:t>Alignment</w:t>
      </w:r>
      <w:bookmarkEnd w:id="17"/>
      <w:bookmarkEnd w:id="18"/>
    </w:p>
    <w:p w14:paraId="60F9E174" w14:textId="6AE6BF46" w:rsidR="00F44D67" w:rsidRPr="00BE6BDC" w:rsidRDefault="00F010CE" w:rsidP="00BE6BDC">
      <w:pPr>
        <w:pStyle w:val="PBodytext"/>
      </w:pPr>
      <w:r w:rsidRPr="00BE6BDC">
        <w:t>The purpose of Quadrant’s staffing approach is to ensure that CalSAWS receives a dedicated, experienced, and collaborative QA Services team capable of integrating seamlessly with the Consortium, project staff, and participating contractors while maintaining the independence and objectivity mandated for an external QA partner.</w:t>
      </w:r>
    </w:p>
    <w:p w14:paraId="592C3271" w14:textId="060080F2" w:rsidR="00F44D67" w:rsidRPr="00BE6BDC" w:rsidRDefault="00F010CE" w:rsidP="00BE6BDC">
      <w:pPr>
        <w:pStyle w:val="PBodytext"/>
      </w:pPr>
      <w:r w:rsidRPr="00BE6BDC">
        <w:t>Our staffing approach is fully aligned with the guiding principles of the CalSAWS Program Governance Model, including transparency, accountability, responsiveness, and continuous improvement.</w:t>
      </w:r>
      <w:r w:rsidR="00F44D67" w:rsidRPr="00BE6BDC">
        <w:t xml:space="preserve"> This approach reinforces Quadrant’s core mission of co-creation</w:t>
      </w:r>
      <w:r w:rsidR="009B764D" w:rsidRPr="00BE6BDC">
        <w:t>,</w:t>
      </w:r>
      <w:r w:rsidR="00F44D67" w:rsidRPr="00BE6BDC">
        <w:t xml:space="preserve"> delivering quality assurance through collaboration, automation, and continuous innovation within the CalSAWS ecosystem.</w:t>
      </w:r>
    </w:p>
    <w:p w14:paraId="4EDCA512" w14:textId="2640FC6F" w:rsidR="00502EA1" w:rsidRPr="000668F9" w:rsidRDefault="00502EA1" w:rsidP="00C22EE1">
      <w:pPr>
        <w:pStyle w:val="PSubheading3"/>
      </w:pPr>
      <w:bookmarkStart w:id="19" w:name="_Toc211632689"/>
      <w:bookmarkStart w:id="20" w:name="_Toc212236325"/>
      <w:r>
        <w:t>Foundational Principles</w:t>
      </w:r>
      <w:bookmarkEnd w:id="19"/>
      <w:bookmarkEnd w:id="20"/>
    </w:p>
    <w:p w14:paraId="01B57A16" w14:textId="77777777" w:rsidR="00502EA1" w:rsidRPr="00F73E66" w:rsidRDefault="00502EA1" w:rsidP="000668F9">
      <w:pPr>
        <w:pStyle w:val="PBodytext"/>
      </w:pPr>
      <w:r w:rsidRPr="00F73E66">
        <w:t>Quadrant’s QA staffing methodology is anchored on four foundational principles that have guided our success across multiple statewide welfare automation programs:</w:t>
      </w:r>
    </w:p>
    <w:p w14:paraId="2957287E" w14:textId="774CE712" w:rsidR="006A694C" w:rsidRPr="006A694C" w:rsidRDefault="006A694C" w:rsidP="00B43DC3">
      <w:pPr>
        <w:pStyle w:val="PNumberlevel1"/>
      </w:pPr>
      <w:r w:rsidRPr="000668F9">
        <w:rPr>
          <w:b/>
          <w:bCs/>
        </w:rPr>
        <w:t>Alignment with CalSAWS’ governance model</w:t>
      </w:r>
      <w:r>
        <w:t xml:space="preserve"> – </w:t>
      </w:r>
      <w:r w:rsidR="00DA4B26" w:rsidRPr="00F73E66">
        <w:t>All QA resources are embedded within Consortium governance structures and participate in key decision-making forums such as the Project Steering Committee (PSC), the Joint Powers Authority (JPA) QA Reviews, and operational workgroups.</w:t>
      </w:r>
      <w:r w:rsidR="000668F9">
        <w:br/>
      </w:r>
      <w:r w:rsidR="00510B68">
        <w:br/>
      </w:r>
      <w:r w:rsidR="00DA4B26" w:rsidRPr="00F73E66">
        <w:t>This ensures visibility of quality metrics and early risk detection across all project streams.</w:t>
      </w:r>
    </w:p>
    <w:p w14:paraId="0FB94411" w14:textId="62AF39E5" w:rsidR="006A694C" w:rsidRPr="006A694C" w:rsidRDefault="006A694C" w:rsidP="00B43DC3">
      <w:pPr>
        <w:pStyle w:val="PNumberlevel1"/>
      </w:pPr>
      <w:r w:rsidRPr="00510B68">
        <w:rPr>
          <w:b/>
          <w:bCs/>
        </w:rPr>
        <w:t>Role-based expertise</w:t>
      </w:r>
      <w:r>
        <w:t xml:space="preserve"> – </w:t>
      </w:r>
      <w:r w:rsidR="00B54943">
        <w:t>Every Key Staff member and team resource meets or exceeds the RFP’s minimum qualification thresholds and brings domain expertise across welfare systems such as CalWORKs, CalFresh, and Medi-Cal.</w:t>
      </w:r>
      <w:r w:rsidR="00510B68">
        <w:br/>
      </w:r>
      <w:r w:rsidR="00510B68">
        <w:br/>
      </w:r>
      <w:r w:rsidR="006F4299" w:rsidRPr="006F4299">
        <w:lastRenderedPageBreak/>
        <w:t>Each QA role includes hands-on experience with automation, AI-assisted testing, and analytics-driven validation to enhance coverage and predict risk.</w:t>
      </w:r>
    </w:p>
    <w:p w14:paraId="5174EEEE" w14:textId="58468C68" w:rsidR="006A694C" w:rsidRPr="006A694C" w:rsidRDefault="006A694C" w:rsidP="00B43DC3">
      <w:pPr>
        <w:pStyle w:val="PNumberlevel1"/>
      </w:pPr>
      <w:r w:rsidRPr="008C0694">
        <w:rPr>
          <w:b/>
          <w:bCs/>
        </w:rPr>
        <w:t>Flexibility and scalability</w:t>
      </w:r>
      <w:r>
        <w:t xml:space="preserve"> – </w:t>
      </w:r>
      <w:r w:rsidR="004B59E1">
        <w:t>Quadrant’s staffing model is intentionally modular and scalable.</w:t>
      </w:r>
      <w:r w:rsidR="008C0694">
        <w:t xml:space="preserve"> </w:t>
      </w:r>
      <w:r w:rsidR="004B59E1">
        <w:t>It allows for rapid augmentation during peak testing cycles (for example, during regression windows or legislative releases) without compromising continuity.</w:t>
      </w:r>
      <w:r w:rsidR="009B764D">
        <w:t xml:space="preserve"> </w:t>
      </w:r>
      <w:r w:rsidR="009B764D" w:rsidRPr="009B764D">
        <w:t>This elasticity is supported by Quadrant’s hybrid delivery centers, enabling rapid response to release peaks while maintaining automation velocity</w:t>
      </w:r>
      <w:r w:rsidR="009B764D">
        <w:t>.</w:t>
      </w:r>
    </w:p>
    <w:p w14:paraId="7BFB4F83" w14:textId="5B12E394" w:rsidR="004A5651" w:rsidRDefault="006A694C" w:rsidP="00B43DC3">
      <w:pPr>
        <w:pStyle w:val="PNumberlevel1"/>
      </w:pPr>
      <w:r w:rsidRPr="4090C706">
        <w:rPr>
          <w:b/>
          <w:bCs/>
        </w:rPr>
        <w:t>Continuity and resilience</w:t>
      </w:r>
      <w:r>
        <w:t xml:space="preserve"> – </w:t>
      </w:r>
      <w:r w:rsidR="008F727C" w:rsidRPr="008F727C">
        <w:t>Through systematic cross-training, succession planning, and an established bench of pre-cleared resources, Quadrant guarantees uninterrupted QA coverage during staff transitions, vacation periods, or unforeseen absences.</w:t>
      </w:r>
    </w:p>
    <w:p w14:paraId="3F2D8C58" w14:textId="058967D3" w:rsidR="00C1368E" w:rsidRPr="00510B68" w:rsidRDefault="00C1368E" w:rsidP="00C22EE1">
      <w:pPr>
        <w:pStyle w:val="PSubheading3"/>
      </w:pPr>
      <w:bookmarkStart w:id="21" w:name="_Toc211632690"/>
      <w:bookmarkStart w:id="22" w:name="_Toc212236326"/>
      <w:r>
        <w:t>Integration and Collaboration</w:t>
      </w:r>
      <w:bookmarkEnd w:id="21"/>
      <w:bookmarkEnd w:id="22"/>
    </w:p>
    <w:p w14:paraId="516DE0F0" w14:textId="77777777" w:rsidR="00C1368E" w:rsidRDefault="00C1368E" w:rsidP="008B47EA">
      <w:pPr>
        <w:pStyle w:val="PBodytext"/>
      </w:pPr>
      <w:r>
        <w:t>Quadrant will operate as an integrated partner within CalSAWS while maintaining a clear line of independence to preserve QA objectivity.</w:t>
      </w:r>
    </w:p>
    <w:p w14:paraId="7F5B3046" w14:textId="77777777" w:rsidR="00C1368E" w:rsidRDefault="00C1368E" w:rsidP="008B47EA">
      <w:pPr>
        <w:pStyle w:val="PBodytext"/>
      </w:pPr>
      <w:r>
        <w:t>Our QA Project Manager (QAPM) shall serve as the single point of accountability, coordinating communications between CalSAWS leadership, county stakeholders, and vendor teams.</w:t>
      </w:r>
    </w:p>
    <w:p w14:paraId="6857EC82" w14:textId="77777777" w:rsidR="00C1368E" w:rsidRDefault="00C1368E" w:rsidP="008B47EA">
      <w:pPr>
        <w:pStyle w:val="PBodytext"/>
      </w:pPr>
      <w:r>
        <w:t>Daily collaboration will be facilitated through agile ceremonies, defect triage sessions, and joint status meetings, ensuring that QA insights inform decision-making in real time.</w:t>
      </w:r>
    </w:p>
    <w:p w14:paraId="10191377" w14:textId="588495D7" w:rsidR="00C1368E" w:rsidRPr="008B47EA" w:rsidRDefault="00C1368E" w:rsidP="00C22EE1">
      <w:pPr>
        <w:pStyle w:val="PSubheading3"/>
        <w:rPr>
          <w:sz w:val="24"/>
          <w:szCs w:val="24"/>
        </w:rPr>
      </w:pPr>
      <w:bookmarkStart w:id="23" w:name="_Toc211632691"/>
      <w:bookmarkStart w:id="24" w:name="_Toc212236327"/>
      <w:r>
        <w:t>Methodological Framework</w:t>
      </w:r>
      <w:bookmarkEnd w:id="23"/>
      <w:bookmarkEnd w:id="24"/>
    </w:p>
    <w:p w14:paraId="2D0C86B6" w14:textId="7CA9F84B" w:rsidR="00C1368E" w:rsidRDefault="00C1368E" w:rsidP="008B47EA">
      <w:pPr>
        <w:pStyle w:val="PBodytext"/>
      </w:pPr>
      <w:r>
        <w:t xml:space="preserve">Quadrant’s staffing approach is reinforced by our </w:t>
      </w:r>
      <w:r w:rsidR="0075353E">
        <w:t xml:space="preserve">modern </w:t>
      </w:r>
      <w:r w:rsidRPr="0075353E">
        <w:t>QA Framework</w:t>
      </w:r>
      <w:r>
        <w:t xml:space="preserve">, an internally developed model based on </w:t>
      </w:r>
      <w:r w:rsidR="007A1B24">
        <w:t>industry’s</w:t>
      </w:r>
      <w:r>
        <w:t xml:space="preserve"> best practices (PMBOK, ISTQB, ISO 9001, and CMMI).</w:t>
      </w:r>
    </w:p>
    <w:p w14:paraId="5498BCB9" w14:textId="2AAA9E09" w:rsidR="00C1368E" w:rsidRDefault="00C1368E" w:rsidP="008B47EA">
      <w:pPr>
        <w:pStyle w:val="PBodytext"/>
      </w:pPr>
      <w:r>
        <w:t>This framework governs recruitment, onboarding, performance measurement, and continuous skills enhancement.</w:t>
      </w:r>
      <w:r w:rsidR="00B54365">
        <w:t xml:space="preserve"> </w:t>
      </w:r>
      <w:r w:rsidR="00B54365" w:rsidRPr="00B54365">
        <w:t>This framework embeds data-driven QA metrics and feedback loops that continuously refine processes, tools, and staff performance across release cycles.</w:t>
      </w:r>
    </w:p>
    <w:p w14:paraId="028CDF6D" w14:textId="77777777" w:rsidR="00C1368E" w:rsidRDefault="00C1368E" w:rsidP="008B47EA">
      <w:pPr>
        <w:pStyle w:val="PBodytext"/>
      </w:pPr>
      <w:r>
        <w:t>All assigned QA staff undergo initial CalSAWS orientation training to ensure familiarity with Consortium governance, program goals, and county operations.</w:t>
      </w:r>
    </w:p>
    <w:p w14:paraId="71640062" w14:textId="2F6F3E50" w:rsidR="00C1368E" w:rsidRPr="008A64E8" w:rsidRDefault="00C1368E" w:rsidP="00C22EE1">
      <w:pPr>
        <w:pStyle w:val="PSubheading3"/>
      </w:pPr>
      <w:bookmarkStart w:id="25" w:name="_Toc211632692"/>
      <w:bookmarkStart w:id="26" w:name="_Toc212236328"/>
      <w:r>
        <w:t>Communication and Escalation</w:t>
      </w:r>
      <w:bookmarkEnd w:id="25"/>
      <w:bookmarkEnd w:id="26"/>
    </w:p>
    <w:p w14:paraId="246F9AC1" w14:textId="77777777" w:rsidR="00C1368E" w:rsidRDefault="00C1368E" w:rsidP="002670AE">
      <w:pPr>
        <w:pStyle w:val="PBodytext"/>
      </w:pPr>
      <w:r>
        <w:t>Clear communication is central to effective staffing.</w:t>
      </w:r>
    </w:p>
    <w:p w14:paraId="68909EED" w14:textId="77777777" w:rsidR="00C1368E" w:rsidRDefault="00C1368E" w:rsidP="002670AE">
      <w:pPr>
        <w:pStyle w:val="PBodytext"/>
      </w:pPr>
      <w:r>
        <w:t>Quadrant shall maintain multi-tier communication channels including:</w:t>
      </w:r>
    </w:p>
    <w:p w14:paraId="0F2DC883" w14:textId="6BFF26DA" w:rsidR="00C1368E" w:rsidRDefault="00C1368E" w:rsidP="00B43DC3">
      <w:pPr>
        <w:pStyle w:val="PBulletlevel1"/>
      </w:pPr>
      <w:r w:rsidRPr="00014722">
        <w:rPr>
          <w:b/>
          <w:bCs/>
        </w:rPr>
        <w:t>Operational Channel:</w:t>
      </w:r>
      <w:r>
        <w:t xml:space="preserve"> Daily interaction between QA </w:t>
      </w:r>
      <w:r w:rsidR="008B2473">
        <w:t xml:space="preserve">program manager </w:t>
      </w:r>
      <w:r>
        <w:t>and CalSAWS technical/functional counterparts.</w:t>
      </w:r>
    </w:p>
    <w:p w14:paraId="6A71F7F8" w14:textId="0999A938" w:rsidR="00C1368E" w:rsidRDefault="00C1368E" w:rsidP="00B43DC3">
      <w:pPr>
        <w:pStyle w:val="PBulletlevel1"/>
      </w:pPr>
      <w:r w:rsidRPr="00EF7F9C">
        <w:rPr>
          <w:b/>
          <w:bCs/>
        </w:rPr>
        <w:t>Governance Channel:</w:t>
      </w:r>
      <w:r>
        <w:t xml:space="preserve"> Weekly reporting to the CalSAWS QA Director and PSC.</w:t>
      </w:r>
    </w:p>
    <w:p w14:paraId="3142CFA5" w14:textId="258217C6" w:rsidR="00C1368E" w:rsidRDefault="00C1368E" w:rsidP="00B43DC3">
      <w:pPr>
        <w:pStyle w:val="PBulletlevel1"/>
      </w:pPr>
      <w:r w:rsidRPr="00EF7F9C">
        <w:rPr>
          <w:b/>
          <w:bCs/>
        </w:rPr>
        <w:t>Executive Channel:</w:t>
      </w:r>
      <w:r>
        <w:t xml:space="preserve"> Monthly Program Health Reports to the CalSAWS Executive Committee.</w:t>
      </w:r>
    </w:p>
    <w:p w14:paraId="6B24ABA7" w14:textId="77777777" w:rsidR="00C1368E" w:rsidRDefault="00C1368E" w:rsidP="002670AE">
      <w:pPr>
        <w:pStyle w:val="PBodytext"/>
      </w:pPr>
      <w:r>
        <w:t>Escalation paths will be pre-defined and documented within the QA Governance Plan, ensuring that issues move swiftly from identification → assessment → resolution without jeopardizing schedule integrity.</w:t>
      </w:r>
    </w:p>
    <w:p w14:paraId="78DA2724" w14:textId="618D09F0" w:rsidR="00C1368E" w:rsidRPr="008A64E8" w:rsidRDefault="00C1368E" w:rsidP="00C22EE1">
      <w:pPr>
        <w:pStyle w:val="PSubheading3"/>
      </w:pPr>
      <w:bookmarkStart w:id="27" w:name="_Toc211632693"/>
      <w:bookmarkStart w:id="28" w:name="_Toc212236329"/>
      <w:r>
        <w:lastRenderedPageBreak/>
        <w:t>Tools and Automation Enablement</w:t>
      </w:r>
      <w:bookmarkEnd w:id="27"/>
      <w:bookmarkEnd w:id="28"/>
    </w:p>
    <w:p w14:paraId="641C8B7C" w14:textId="51F0DE59" w:rsidR="00C1368E" w:rsidRDefault="00C1368E" w:rsidP="002670AE">
      <w:pPr>
        <w:pStyle w:val="PBodytext"/>
      </w:pPr>
      <w:r>
        <w:t>Quadrant’s staffing approach leverages automation at both operational and managerial levels.</w:t>
      </w:r>
      <w:r w:rsidR="00B54365">
        <w:t xml:space="preserve"> </w:t>
      </w:r>
      <w:r w:rsidR="00B54365" w:rsidRPr="00B54365">
        <w:t>Quadrant will further integrate AI-based defect prediction and test case optimization models, leveraging machine learning insights to improve test efficiency and defect root-cause visibility.</w:t>
      </w:r>
    </w:p>
    <w:p w14:paraId="361FF42E" w14:textId="77777777" w:rsidR="00C1368E" w:rsidRDefault="00C1368E" w:rsidP="002670AE">
      <w:pPr>
        <w:pStyle w:val="PBodytext"/>
      </w:pPr>
      <w:r>
        <w:t xml:space="preserve">All QA resources are equipped with tool proficiency in </w:t>
      </w:r>
      <w:r w:rsidRPr="00B4764D">
        <w:rPr>
          <w:b/>
          <w:bCs/>
        </w:rPr>
        <w:t>JIRA</w:t>
      </w:r>
      <w:r>
        <w:t xml:space="preserve">, </w:t>
      </w:r>
      <w:r w:rsidRPr="00B4764D">
        <w:rPr>
          <w:b/>
          <w:bCs/>
        </w:rPr>
        <w:t>TestRail</w:t>
      </w:r>
      <w:r>
        <w:t xml:space="preserve">, </w:t>
      </w:r>
      <w:r w:rsidRPr="00B4764D">
        <w:rPr>
          <w:b/>
          <w:bCs/>
        </w:rPr>
        <w:t>Confluence</w:t>
      </w:r>
      <w:r>
        <w:t xml:space="preserve">, </w:t>
      </w:r>
      <w:r w:rsidRPr="00B4764D">
        <w:rPr>
          <w:b/>
          <w:bCs/>
        </w:rPr>
        <w:t>Selenium</w:t>
      </w:r>
      <w:r>
        <w:t xml:space="preserve">, </w:t>
      </w:r>
      <w:r w:rsidRPr="00B4764D">
        <w:rPr>
          <w:b/>
          <w:bCs/>
        </w:rPr>
        <w:t>LoadRunner</w:t>
      </w:r>
      <w:r>
        <w:t xml:space="preserve">, and </w:t>
      </w:r>
      <w:r w:rsidRPr="00B4764D">
        <w:rPr>
          <w:b/>
          <w:bCs/>
        </w:rPr>
        <w:t>Azure DevOps</w:t>
      </w:r>
      <w:r>
        <w:t>.</w:t>
      </w:r>
    </w:p>
    <w:p w14:paraId="02E76447" w14:textId="77777777" w:rsidR="00C1368E" w:rsidRDefault="00C1368E" w:rsidP="002670AE">
      <w:pPr>
        <w:pStyle w:val="PBodytext"/>
      </w:pPr>
      <w:r>
        <w:t>This enables seamless integration of QA activities into CalSAWS’ CI/CD pipelines, providing real-time traceability of defects and KPIs.</w:t>
      </w:r>
    </w:p>
    <w:p w14:paraId="01FEA9ED" w14:textId="1A9C4687" w:rsidR="00C1368E" w:rsidRDefault="00C1368E" w:rsidP="002670AE">
      <w:pPr>
        <w:pStyle w:val="PBodytext"/>
      </w:pPr>
      <w:r>
        <w:t xml:space="preserve">Automation engineers and DevOps QA specialists will collaborate to build reusable regression suites, </w:t>
      </w:r>
      <w:r w:rsidR="007B6018" w:rsidRPr="007B6018">
        <w:t>reducing test cycle times by 35</w:t>
      </w:r>
      <w:r w:rsidR="00585D16">
        <w:t>–</w:t>
      </w:r>
      <w:r w:rsidR="007B6018" w:rsidRPr="007B6018">
        <w:t>40</w:t>
      </w:r>
      <w:r w:rsidR="00585D16">
        <w:t>%</w:t>
      </w:r>
      <w:r w:rsidR="007B6018" w:rsidRPr="007B6018">
        <w:t>while improving defect detection accuracy by 25</w:t>
      </w:r>
      <w:r w:rsidR="002670AE">
        <w:t>%</w:t>
      </w:r>
      <w:r>
        <w:t>.</w:t>
      </w:r>
    </w:p>
    <w:p w14:paraId="21C98A12" w14:textId="228EDE45" w:rsidR="00C1368E" w:rsidRPr="008A64E8" w:rsidRDefault="00C1368E" w:rsidP="00C22EE1">
      <w:pPr>
        <w:pStyle w:val="PSubheading3"/>
      </w:pPr>
      <w:bookmarkStart w:id="29" w:name="_Toc211632694"/>
      <w:bookmarkStart w:id="30" w:name="_Toc212236330"/>
      <w:r>
        <w:t>Staffing Governance</w:t>
      </w:r>
      <w:bookmarkEnd w:id="29"/>
      <w:bookmarkEnd w:id="30"/>
    </w:p>
    <w:p w14:paraId="4BC29C04" w14:textId="77777777" w:rsidR="00C1368E" w:rsidRDefault="00C1368E" w:rsidP="00585D16">
      <w:pPr>
        <w:pStyle w:val="PBodytext"/>
      </w:pPr>
      <w:r>
        <w:t>Quadrant’s Staffing Governance Model ensures accountability, oversight, and compliance with RFP requirements.</w:t>
      </w:r>
    </w:p>
    <w:p w14:paraId="03E82298" w14:textId="77777777" w:rsidR="00C1368E" w:rsidRDefault="00C1368E" w:rsidP="00585D16">
      <w:pPr>
        <w:pStyle w:val="PBodytext"/>
      </w:pPr>
      <w:r>
        <w:t>It defines reporting relationships, approval hierarchies, and performance checkpoints.</w:t>
      </w:r>
    </w:p>
    <w:p w14:paraId="679C4263" w14:textId="09474E85" w:rsidR="00C1368E" w:rsidRDefault="00C1368E" w:rsidP="003D5608">
      <w:pPr>
        <w:pStyle w:val="PBodytext"/>
      </w:pPr>
      <w:r>
        <w:t>Periodic staffing audits will verify that personnel qualifications, time allocation, and deliverable outputs remain consistent with the approved Staffing Plan.</w:t>
      </w:r>
    </w:p>
    <w:p w14:paraId="2D8E1C50" w14:textId="77777777" w:rsidR="00F23C08" w:rsidRDefault="00F23C08" w:rsidP="005F7AE5">
      <w:pPr>
        <w:pStyle w:val="PSubheading2"/>
        <w:numPr>
          <w:ilvl w:val="0"/>
          <w:numId w:val="11"/>
        </w:numPr>
        <w:ind w:left="360"/>
      </w:pPr>
      <w:bookmarkStart w:id="31" w:name="_Toc211632695"/>
      <w:bookmarkStart w:id="32" w:name="_Toc212236331"/>
      <w:bookmarkStart w:id="33" w:name="_Toc212369220"/>
      <w:bookmarkStart w:id="34" w:name="_Toc212369291"/>
      <w:bookmarkStart w:id="35" w:name="_Toc209082409"/>
      <w:r>
        <w:t>Criteria for Key Staff Selection</w:t>
      </w:r>
      <w:bookmarkEnd w:id="31"/>
      <w:bookmarkEnd w:id="32"/>
      <w:bookmarkEnd w:id="33"/>
      <w:bookmarkEnd w:id="34"/>
    </w:p>
    <w:p w14:paraId="12B605A5" w14:textId="66D44120" w:rsidR="008A73D7" w:rsidRPr="00737EDF" w:rsidRDefault="008A73D7" w:rsidP="00C22EE1">
      <w:pPr>
        <w:pStyle w:val="PSubheading3"/>
      </w:pPr>
      <w:bookmarkStart w:id="36" w:name="_Toc211632696"/>
      <w:bookmarkStart w:id="37" w:name="_Toc212236332"/>
      <w:r w:rsidRPr="00737EDF">
        <w:t>Selection Philosophy</w:t>
      </w:r>
      <w:bookmarkEnd w:id="36"/>
      <w:bookmarkEnd w:id="37"/>
    </w:p>
    <w:p w14:paraId="33391673" w14:textId="77777777" w:rsidR="00540B20" w:rsidRPr="0097561E" w:rsidRDefault="008A73D7" w:rsidP="0097561E">
      <w:pPr>
        <w:pStyle w:val="PBodytext"/>
      </w:pPr>
      <w:r w:rsidRPr="0097561E">
        <w:t>Quadrant recognizes that the success of a QA program depends on the caliber of its people.</w:t>
      </w:r>
    </w:p>
    <w:p w14:paraId="23004F6F" w14:textId="77777777" w:rsidR="00540B20" w:rsidRPr="0097561E" w:rsidRDefault="008A73D7" w:rsidP="0097561E">
      <w:pPr>
        <w:pStyle w:val="PBodytext"/>
      </w:pPr>
      <w:r w:rsidRPr="0097561E">
        <w:t>Our staff selection methodology is designed to ensure that each Key Staff member not only satisfies the technical and experience criteria defined in the RFP but also embodies Quadrant’s values of objectivity, collaboration, and service excellence.</w:t>
      </w:r>
    </w:p>
    <w:p w14:paraId="6C03435C" w14:textId="345459A8" w:rsidR="008A73D7" w:rsidRPr="0097561E" w:rsidRDefault="008A73D7" w:rsidP="0097561E">
      <w:pPr>
        <w:pStyle w:val="PBodytext"/>
      </w:pPr>
      <w:r w:rsidRPr="0097561E">
        <w:t>All candidates are vetted through a four-stage evaluation process: credential verification, technical assessment, leadership interview, and cultural fit review.</w:t>
      </w:r>
    </w:p>
    <w:p w14:paraId="543C1802" w14:textId="4DB059B2" w:rsidR="008A73D7" w:rsidRPr="004F3E1B" w:rsidRDefault="008A73D7" w:rsidP="00C22EE1">
      <w:pPr>
        <w:pStyle w:val="PSubheading3"/>
      </w:pPr>
      <w:bookmarkStart w:id="38" w:name="_Toc211632697"/>
      <w:bookmarkStart w:id="39" w:name="_Toc212236333"/>
      <w:r w:rsidRPr="004F3E1B">
        <w:t>Selection Process and Evaluation Criteria</w:t>
      </w:r>
      <w:bookmarkEnd w:id="38"/>
      <w:bookmarkEnd w:id="39"/>
    </w:p>
    <w:p w14:paraId="2071DAAC" w14:textId="77777777" w:rsidR="008A73D7" w:rsidRPr="00F73E66" w:rsidRDefault="008A73D7" w:rsidP="00084496">
      <w:pPr>
        <w:pStyle w:val="PBodytext"/>
      </w:pPr>
      <w:r w:rsidRPr="00F73E66">
        <w:t>The process for selecting Key Staff follows a standardized model comprising the following steps:</w:t>
      </w:r>
    </w:p>
    <w:p w14:paraId="4ADEB912" w14:textId="77777777" w:rsidR="008A73D7" w:rsidRPr="00F73E66" w:rsidRDefault="008A73D7" w:rsidP="005F7AE5">
      <w:pPr>
        <w:numPr>
          <w:ilvl w:val="0"/>
          <w:numId w:val="10"/>
        </w:numPr>
        <w:spacing w:line="278" w:lineRule="auto"/>
      </w:pPr>
      <w:r w:rsidRPr="00F73E66">
        <w:rPr>
          <w:b/>
          <w:bCs/>
        </w:rPr>
        <w:t>Role Definition:</w:t>
      </w:r>
      <w:r w:rsidRPr="00F73E66">
        <w:t xml:space="preserve"> For each Key Staff position, Quadrant develops a comprehensive Role Profile detailing responsibilities, required skills, and performance objectives aligned with CalSAWS expectations.</w:t>
      </w:r>
    </w:p>
    <w:p w14:paraId="5D6ED768" w14:textId="77777777" w:rsidR="008A73D7" w:rsidRPr="00F73E66" w:rsidRDefault="008A73D7" w:rsidP="005F7AE5">
      <w:pPr>
        <w:numPr>
          <w:ilvl w:val="0"/>
          <w:numId w:val="10"/>
        </w:numPr>
        <w:spacing w:line="278" w:lineRule="auto"/>
      </w:pPr>
      <w:r w:rsidRPr="00F73E66">
        <w:rPr>
          <w:b/>
          <w:bCs/>
        </w:rPr>
        <w:t>Candidate Identification:</w:t>
      </w:r>
      <w:r w:rsidRPr="00F73E66">
        <w:t xml:space="preserve"> Quadrant leverages its internal Talent Management System and public sector resource pool to identify qualified candidates with documented experience in large-scale statewide QA programs.</w:t>
      </w:r>
    </w:p>
    <w:p w14:paraId="004A91E4" w14:textId="77777777" w:rsidR="008A73D7" w:rsidRPr="00F73E66" w:rsidRDefault="008A73D7" w:rsidP="005F7AE5">
      <w:pPr>
        <w:numPr>
          <w:ilvl w:val="0"/>
          <w:numId w:val="10"/>
        </w:numPr>
        <w:spacing w:line="278" w:lineRule="auto"/>
      </w:pPr>
      <w:r w:rsidRPr="00F73E66">
        <w:rPr>
          <w:b/>
          <w:bCs/>
        </w:rPr>
        <w:lastRenderedPageBreak/>
        <w:t>Competency Assessment:</w:t>
      </w:r>
      <w:r w:rsidRPr="00F73E66">
        <w:t xml:space="preserve"> Candidates undergo structured technical and behavioral interviews covering areas such as risk-based testing, automation strategy, defect management, and stakeholder communication.</w:t>
      </w:r>
    </w:p>
    <w:p w14:paraId="6901E61B" w14:textId="6B0EE7B9" w:rsidR="008A73D7" w:rsidRPr="00F73E66" w:rsidRDefault="00CA17E3" w:rsidP="005F7AE5">
      <w:pPr>
        <w:numPr>
          <w:ilvl w:val="0"/>
          <w:numId w:val="10"/>
        </w:numPr>
        <w:spacing w:line="278" w:lineRule="auto"/>
      </w:pPr>
      <w:r>
        <w:rPr>
          <w:b/>
          <w:bCs/>
        </w:rPr>
        <w:t>Innovation Mindset</w:t>
      </w:r>
      <w:r w:rsidR="008A73D7" w:rsidRPr="00F73E66">
        <w:rPr>
          <w:b/>
          <w:bCs/>
        </w:rPr>
        <w:t>:</w:t>
      </w:r>
      <w:r w:rsidR="008A73D7" w:rsidRPr="00F73E66">
        <w:t xml:space="preserve"> </w:t>
      </w:r>
      <w:r>
        <w:t>E</w:t>
      </w:r>
      <w:r w:rsidRPr="00CA17E3">
        <w:t>nsuring staff demonstrate curiosity, adaptability, and a proactive approach to technology adoption</w:t>
      </w:r>
      <w:r w:rsidR="008A73D7" w:rsidRPr="00F73E66">
        <w:t>.</w:t>
      </w:r>
    </w:p>
    <w:p w14:paraId="08E59AC4" w14:textId="6A43D573" w:rsidR="008A73D7" w:rsidRDefault="008A73D7" w:rsidP="00C22EE1">
      <w:pPr>
        <w:pStyle w:val="PSubheading3"/>
      </w:pPr>
      <w:bookmarkStart w:id="40" w:name="_Toc211632698"/>
      <w:bookmarkStart w:id="41" w:name="_Toc212236334"/>
      <w:r w:rsidRPr="004F3E1B">
        <w:t>Key Staff Role Matrix</w:t>
      </w:r>
      <w:bookmarkEnd w:id="40"/>
      <w:bookmarkEnd w:id="41"/>
    </w:p>
    <w:p w14:paraId="7BEF0554" w14:textId="49EDA167" w:rsidR="001D3DE5" w:rsidRPr="001D3DE5" w:rsidRDefault="001D3DE5" w:rsidP="001D3DE5">
      <w:pPr>
        <w:pStyle w:val="Caption"/>
      </w:pPr>
      <w:bookmarkStart w:id="42" w:name="_Toc212409115"/>
      <w:r w:rsidRPr="001D3DE5">
        <w:t xml:space="preserve">Table </w:t>
      </w:r>
      <w:r>
        <w:fldChar w:fldCharType="begin"/>
      </w:r>
      <w:r>
        <w:instrText>SEQ Table \* ARABIC</w:instrText>
      </w:r>
      <w:r>
        <w:fldChar w:fldCharType="separate"/>
      </w:r>
      <w:r w:rsidR="00324369">
        <w:rPr>
          <w:noProof/>
        </w:rPr>
        <w:t>1</w:t>
      </w:r>
      <w:r>
        <w:fldChar w:fldCharType="end"/>
      </w:r>
      <w:r w:rsidRPr="001D3DE5">
        <w:t>. Key Staff Selection Criteria</w:t>
      </w:r>
      <w:bookmarkEnd w:id="42"/>
    </w:p>
    <w:tbl>
      <w:tblPr>
        <w:tblStyle w:val="TableGrid"/>
        <w:tblW w:w="5000" w:type="pct"/>
        <w:tblCellMar>
          <w:top w:w="72" w:type="dxa"/>
          <w:left w:w="72" w:type="dxa"/>
          <w:bottom w:w="72" w:type="dxa"/>
          <w:right w:w="72" w:type="dxa"/>
        </w:tblCellMar>
        <w:tblLook w:val="04A0" w:firstRow="1" w:lastRow="0" w:firstColumn="1" w:lastColumn="0" w:noHBand="0" w:noVBand="1"/>
      </w:tblPr>
      <w:tblGrid>
        <w:gridCol w:w="1705"/>
        <w:gridCol w:w="3600"/>
        <w:gridCol w:w="4045"/>
      </w:tblGrid>
      <w:tr w:rsidR="00F30CEB" w14:paraId="5305EEEA" w14:textId="77777777" w:rsidTr="007B0C7E">
        <w:trPr>
          <w:trHeight w:val="297"/>
        </w:trPr>
        <w:tc>
          <w:tcPr>
            <w:tcW w:w="1705" w:type="dxa"/>
            <w:shd w:val="clear" w:color="auto" w:fill="C5E9FE" w:themeFill="accent3" w:themeFillTint="33"/>
          </w:tcPr>
          <w:p w14:paraId="2AE29181" w14:textId="5AC75FAA" w:rsidR="00F30CEB" w:rsidRPr="007B0C7E" w:rsidRDefault="00F30CEB" w:rsidP="001D3DE5">
            <w:pPr>
              <w:pStyle w:val="PTableheaderblack"/>
              <w:keepNext/>
              <w:keepLines/>
            </w:pPr>
            <w:r w:rsidRPr="007B0C7E">
              <w:t>Key Staff Role</w:t>
            </w:r>
          </w:p>
        </w:tc>
        <w:tc>
          <w:tcPr>
            <w:tcW w:w="3600" w:type="dxa"/>
            <w:shd w:val="clear" w:color="auto" w:fill="C5E9FE" w:themeFill="accent3" w:themeFillTint="33"/>
          </w:tcPr>
          <w:p w14:paraId="50F4CF90" w14:textId="6FB4BBA2" w:rsidR="00F30CEB" w:rsidRPr="007B0C7E" w:rsidRDefault="00F30CEB" w:rsidP="001D3DE5">
            <w:pPr>
              <w:pStyle w:val="PTableheaderblack"/>
              <w:keepNext/>
              <w:keepLines/>
            </w:pPr>
            <w:r w:rsidRPr="007B0C7E">
              <w:t>Minimum Qualifications</w:t>
            </w:r>
          </w:p>
        </w:tc>
        <w:tc>
          <w:tcPr>
            <w:tcW w:w="4045" w:type="dxa"/>
            <w:shd w:val="clear" w:color="auto" w:fill="C5E9FE" w:themeFill="accent3" w:themeFillTint="33"/>
          </w:tcPr>
          <w:p w14:paraId="4FBAC473" w14:textId="2E1D2533" w:rsidR="00F30CEB" w:rsidRPr="007B0C7E" w:rsidRDefault="00F30CEB" w:rsidP="001D3DE5">
            <w:pPr>
              <w:pStyle w:val="PTableheaderblack"/>
              <w:keepNext/>
              <w:keepLines/>
            </w:pPr>
            <w:r w:rsidRPr="007B0C7E">
              <w:t>Core Competencies</w:t>
            </w:r>
          </w:p>
        </w:tc>
      </w:tr>
      <w:tr w:rsidR="00F30CEB" w14:paraId="37A123CD" w14:textId="77777777" w:rsidTr="007B0C7E">
        <w:trPr>
          <w:trHeight w:val="297"/>
        </w:trPr>
        <w:tc>
          <w:tcPr>
            <w:tcW w:w="1705" w:type="dxa"/>
          </w:tcPr>
          <w:p w14:paraId="25AB6545" w14:textId="51804CCC" w:rsidR="00F30CEB" w:rsidRPr="007B0C7E" w:rsidRDefault="00F30CEB" w:rsidP="007B0C7E">
            <w:pPr>
              <w:pStyle w:val="PTablebodytext"/>
              <w:keepNext/>
              <w:keepLines/>
            </w:pPr>
            <w:r w:rsidRPr="007B0C7E">
              <w:t>QA Project Manager</w:t>
            </w:r>
          </w:p>
        </w:tc>
        <w:tc>
          <w:tcPr>
            <w:tcW w:w="3600" w:type="dxa"/>
          </w:tcPr>
          <w:p w14:paraId="3B58CEE0" w14:textId="1ADB4B15" w:rsidR="00F30CEB" w:rsidRPr="007B0C7E" w:rsidRDefault="00F30CEB" w:rsidP="007B0C7E">
            <w:pPr>
              <w:pStyle w:val="PTablebodytext"/>
              <w:keepNext/>
              <w:keepLines/>
            </w:pPr>
            <w:r w:rsidRPr="007B0C7E">
              <w:t>PMP or equivalent; 15+ years of large-scale QA leadership</w:t>
            </w:r>
          </w:p>
        </w:tc>
        <w:tc>
          <w:tcPr>
            <w:tcW w:w="4045" w:type="dxa"/>
          </w:tcPr>
          <w:p w14:paraId="41B1A683" w14:textId="24727F68" w:rsidR="00F30CEB" w:rsidRPr="007B0C7E" w:rsidRDefault="00F30CEB" w:rsidP="007B0C7E">
            <w:pPr>
              <w:pStyle w:val="PTablebodytext"/>
              <w:keepNext/>
              <w:keepLines/>
            </w:pPr>
            <w:r w:rsidRPr="007B0C7E">
              <w:t>Program governance, budget oversight, stakeholder communication</w:t>
            </w:r>
          </w:p>
        </w:tc>
      </w:tr>
      <w:tr w:rsidR="00F30CEB" w14:paraId="4DFEF0AB" w14:textId="77777777" w:rsidTr="007B0C7E">
        <w:trPr>
          <w:trHeight w:val="297"/>
        </w:trPr>
        <w:tc>
          <w:tcPr>
            <w:tcW w:w="1705" w:type="dxa"/>
          </w:tcPr>
          <w:p w14:paraId="3BE751A1" w14:textId="251A285B" w:rsidR="00F30CEB" w:rsidRPr="007B0C7E" w:rsidRDefault="00F30CEB" w:rsidP="007B0C7E">
            <w:pPr>
              <w:pStyle w:val="PTablebodytext"/>
            </w:pPr>
            <w:r w:rsidRPr="007B0C7E">
              <w:t>QA Test Manager</w:t>
            </w:r>
          </w:p>
        </w:tc>
        <w:tc>
          <w:tcPr>
            <w:tcW w:w="3600" w:type="dxa"/>
          </w:tcPr>
          <w:p w14:paraId="34336561" w14:textId="69DC12DC" w:rsidR="00F30CEB" w:rsidRPr="007B0C7E" w:rsidRDefault="00F30CEB" w:rsidP="007B0C7E">
            <w:pPr>
              <w:pStyle w:val="PTablebodytext"/>
            </w:pPr>
            <w:r w:rsidRPr="007B0C7E">
              <w:t>ISTQB Advanced; 10+ years in test management</w:t>
            </w:r>
          </w:p>
        </w:tc>
        <w:tc>
          <w:tcPr>
            <w:tcW w:w="4045" w:type="dxa"/>
          </w:tcPr>
          <w:p w14:paraId="12F0273B" w14:textId="1D6B5D26" w:rsidR="00F30CEB" w:rsidRPr="007B0C7E" w:rsidRDefault="00F30CEB" w:rsidP="007B0C7E">
            <w:pPr>
              <w:pStyle w:val="PTablebodytext"/>
            </w:pPr>
            <w:r w:rsidRPr="007B0C7E">
              <w:t>Automation, performance QA, test strategy</w:t>
            </w:r>
          </w:p>
        </w:tc>
      </w:tr>
      <w:tr w:rsidR="00F30CEB" w14:paraId="2754DB6F" w14:textId="77777777" w:rsidTr="007B0C7E">
        <w:trPr>
          <w:trHeight w:val="297"/>
        </w:trPr>
        <w:tc>
          <w:tcPr>
            <w:tcW w:w="1705" w:type="dxa"/>
          </w:tcPr>
          <w:p w14:paraId="4863BAF8" w14:textId="0E11E7ED" w:rsidR="00F30CEB" w:rsidRPr="007B0C7E" w:rsidRDefault="00F30CEB" w:rsidP="007B0C7E">
            <w:pPr>
              <w:pStyle w:val="PTablebodytext"/>
            </w:pPr>
            <w:r w:rsidRPr="007B0C7E">
              <w:t>QA Functional Manager</w:t>
            </w:r>
          </w:p>
        </w:tc>
        <w:tc>
          <w:tcPr>
            <w:tcW w:w="3600" w:type="dxa"/>
          </w:tcPr>
          <w:p w14:paraId="350896AF" w14:textId="3ACC5E89" w:rsidR="00F30CEB" w:rsidRPr="007B0C7E" w:rsidRDefault="00F30CEB" w:rsidP="007B0C7E">
            <w:pPr>
              <w:pStyle w:val="PTablebodytext"/>
            </w:pPr>
            <w:r w:rsidRPr="007B0C7E">
              <w:t>10+ years in welfare system QA</w:t>
            </w:r>
          </w:p>
        </w:tc>
        <w:tc>
          <w:tcPr>
            <w:tcW w:w="4045" w:type="dxa"/>
          </w:tcPr>
          <w:p w14:paraId="03FF89CD" w14:textId="4CF43F3F" w:rsidR="00F30CEB" w:rsidRPr="007B0C7E" w:rsidRDefault="00F30CEB" w:rsidP="007B0C7E">
            <w:pPr>
              <w:pStyle w:val="PTablebodytext"/>
            </w:pPr>
            <w:r w:rsidRPr="007B0C7E">
              <w:t>Business process validation, UAT coordination</w:t>
            </w:r>
          </w:p>
        </w:tc>
      </w:tr>
      <w:tr w:rsidR="00F30CEB" w14:paraId="7B793DFF" w14:textId="77777777" w:rsidTr="007B0C7E">
        <w:trPr>
          <w:trHeight w:val="297"/>
        </w:trPr>
        <w:tc>
          <w:tcPr>
            <w:tcW w:w="1705" w:type="dxa"/>
          </w:tcPr>
          <w:p w14:paraId="7D73034B" w14:textId="09FE146D" w:rsidR="00F30CEB" w:rsidRPr="007B0C7E" w:rsidRDefault="00F30CEB" w:rsidP="007B0C7E">
            <w:pPr>
              <w:pStyle w:val="PTablebodytext"/>
            </w:pPr>
            <w:r w:rsidRPr="007B0C7E">
              <w:t>QA Technical Manager</w:t>
            </w:r>
          </w:p>
        </w:tc>
        <w:tc>
          <w:tcPr>
            <w:tcW w:w="3600" w:type="dxa"/>
          </w:tcPr>
          <w:p w14:paraId="40524982" w14:textId="32835C55" w:rsidR="00F30CEB" w:rsidRPr="007B0C7E" w:rsidRDefault="00F30CEB" w:rsidP="007B0C7E">
            <w:pPr>
              <w:pStyle w:val="PTablebodytext"/>
            </w:pPr>
            <w:r w:rsidRPr="007B0C7E">
              <w:t xml:space="preserve">Degree in CS/Engineering; 10+ years </w:t>
            </w:r>
            <w:r w:rsidR="003617DE" w:rsidRPr="007B0C7E">
              <w:t>infra-QA</w:t>
            </w:r>
          </w:p>
        </w:tc>
        <w:tc>
          <w:tcPr>
            <w:tcW w:w="4045" w:type="dxa"/>
          </w:tcPr>
          <w:p w14:paraId="61A75573" w14:textId="03B8BE51" w:rsidR="00F30CEB" w:rsidRPr="007B0C7E" w:rsidRDefault="00F30CEB" w:rsidP="007B0C7E">
            <w:pPr>
              <w:pStyle w:val="PTablebodytext"/>
            </w:pPr>
            <w:r w:rsidRPr="007B0C7E">
              <w:t>Security, DevOps, environment validation</w:t>
            </w:r>
          </w:p>
        </w:tc>
      </w:tr>
    </w:tbl>
    <w:p w14:paraId="50F31878" w14:textId="46EADB90" w:rsidR="0052081F" w:rsidRPr="00900D3D" w:rsidRDefault="0052081F" w:rsidP="00C22EE1">
      <w:pPr>
        <w:pStyle w:val="PSubheading3"/>
      </w:pPr>
      <w:bookmarkStart w:id="43" w:name="_Toc211632699"/>
      <w:bookmarkStart w:id="44" w:name="_Toc212236335"/>
      <w:r w:rsidRPr="00900D3D">
        <w:t>Behavioral and Leadership Attributes</w:t>
      </w:r>
      <w:bookmarkEnd w:id="43"/>
      <w:bookmarkEnd w:id="44"/>
    </w:p>
    <w:p w14:paraId="18FE906F" w14:textId="77777777" w:rsidR="0052081F" w:rsidRPr="006B5397" w:rsidRDefault="0052081F" w:rsidP="006B5397">
      <w:pPr>
        <w:pStyle w:val="PBodytext"/>
      </w:pPr>
      <w:r w:rsidRPr="006B5397">
        <w:t>Beyond technical proficiency, Quadrant evaluates leadership competencies including:</w:t>
      </w:r>
    </w:p>
    <w:p w14:paraId="78F7A7D2" w14:textId="77777777" w:rsidR="0052081F" w:rsidRPr="00F73E66" w:rsidRDefault="0052081F" w:rsidP="00B43DC3">
      <w:pPr>
        <w:pStyle w:val="PBulletlevel1"/>
      </w:pPr>
      <w:r w:rsidRPr="00F73E66">
        <w:t>Decision clarity under time constraints</w:t>
      </w:r>
    </w:p>
    <w:p w14:paraId="4FEE17A7" w14:textId="77777777" w:rsidR="0052081F" w:rsidRPr="00F73E66" w:rsidRDefault="0052081F" w:rsidP="00B43DC3">
      <w:pPr>
        <w:pStyle w:val="PBulletlevel1"/>
      </w:pPr>
      <w:r w:rsidRPr="00F73E66">
        <w:t>Conflict resolution in multi-vendor environments</w:t>
      </w:r>
    </w:p>
    <w:p w14:paraId="7C0E3EF3" w14:textId="77777777" w:rsidR="0052081F" w:rsidRPr="00F73E66" w:rsidRDefault="0052081F" w:rsidP="00B43DC3">
      <w:pPr>
        <w:pStyle w:val="PBulletlevel1"/>
      </w:pPr>
      <w:r w:rsidRPr="00F73E66">
        <w:t>Effective communication across technical and non-technical audiences</w:t>
      </w:r>
    </w:p>
    <w:p w14:paraId="4991F5F3" w14:textId="0260E768" w:rsidR="0052081F" w:rsidRDefault="0052081F" w:rsidP="00B43DC3">
      <w:pPr>
        <w:pStyle w:val="PBulletlevel1"/>
      </w:pPr>
      <w:r w:rsidRPr="00F73E66">
        <w:t xml:space="preserve">Commitment to mentoring and knowledge transfer within the QA </w:t>
      </w:r>
      <w:r w:rsidR="00CF4C08" w:rsidRPr="00F73E66">
        <w:t>team.</w:t>
      </w:r>
    </w:p>
    <w:p w14:paraId="141AAD40" w14:textId="5A9A2199" w:rsidR="007A7805" w:rsidRPr="00F73E66" w:rsidRDefault="007A7805" w:rsidP="00B43DC3">
      <w:pPr>
        <w:pStyle w:val="PBulletlevel1"/>
      </w:pPr>
      <w:r w:rsidRPr="007A7805">
        <w:t>Commitment to driving automation and AI-led testing innovations within the QA lifecycle</w:t>
      </w:r>
      <w:r w:rsidR="00CF4C08">
        <w:t>.</w:t>
      </w:r>
    </w:p>
    <w:p w14:paraId="7F9546E9" w14:textId="25466D75" w:rsidR="0052081F" w:rsidRPr="00601A9A" w:rsidRDefault="0052081F" w:rsidP="00C22EE1">
      <w:pPr>
        <w:pStyle w:val="PSubheading3"/>
      </w:pPr>
      <w:bookmarkStart w:id="45" w:name="_Toc211632700"/>
      <w:bookmarkStart w:id="46" w:name="_Toc212236336"/>
      <w:r w:rsidRPr="00601A9A">
        <w:t>Onboarding and Training</w:t>
      </w:r>
      <w:bookmarkEnd w:id="45"/>
      <w:bookmarkEnd w:id="46"/>
    </w:p>
    <w:p w14:paraId="1CCE5E78" w14:textId="77777777" w:rsidR="0052081F" w:rsidRPr="006B5397" w:rsidRDefault="0052081F" w:rsidP="006B5397">
      <w:pPr>
        <w:pStyle w:val="PBodytext"/>
      </w:pPr>
      <w:r w:rsidRPr="006B5397">
        <w:t>All Key Staff and support personnel will undergo a formalized onboarding program comprising:</w:t>
      </w:r>
    </w:p>
    <w:p w14:paraId="340AE4F5" w14:textId="77777777" w:rsidR="0052081F" w:rsidRPr="00F73E66" w:rsidRDefault="0052081F" w:rsidP="005F7AE5">
      <w:pPr>
        <w:pStyle w:val="PNumberlevel1"/>
        <w:numPr>
          <w:ilvl w:val="0"/>
          <w:numId w:val="12"/>
        </w:numPr>
      </w:pPr>
      <w:r w:rsidRPr="00F73E66">
        <w:t>Orientation to CalSAWS mission and organizational structure.</w:t>
      </w:r>
    </w:p>
    <w:p w14:paraId="20FE49CC" w14:textId="77777777" w:rsidR="0052081F" w:rsidRPr="00F73E66" w:rsidRDefault="0052081F" w:rsidP="005F7AE5">
      <w:pPr>
        <w:pStyle w:val="PNumberlevel1"/>
        <w:numPr>
          <w:ilvl w:val="0"/>
          <w:numId w:val="12"/>
        </w:numPr>
      </w:pPr>
      <w:r w:rsidRPr="00F73E66">
        <w:t>Familiarization with Consortium governance and reporting protocols.</w:t>
      </w:r>
    </w:p>
    <w:p w14:paraId="5661D2D4" w14:textId="77777777" w:rsidR="0052081F" w:rsidRPr="00F73E66" w:rsidRDefault="0052081F" w:rsidP="005F7AE5">
      <w:pPr>
        <w:pStyle w:val="PNumberlevel1"/>
        <w:numPr>
          <w:ilvl w:val="0"/>
          <w:numId w:val="12"/>
        </w:numPr>
      </w:pPr>
      <w:r w:rsidRPr="00F73E66">
        <w:t>Security and data privacy training consistent with state policy.</w:t>
      </w:r>
    </w:p>
    <w:p w14:paraId="01E1DFF1" w14:textId="77777777" w:rsidR="0052081F" w:rsidRPr="00F73E66" w:rsidRDefault="0052081F" w:rsidP="005F7AE5">
      <w:pPr>
        <w:pStyle w:val="PNumberlevel1"/>
        <w:numPr>
          <w:ilvl w:val="0"/>
          <w:numId w:val="12"/>
        </w:numPr>
      </w:pPr>
      <w:r w:rsidRPr="00F73E66">
        <w:t>Toolchain access and workflow integration exercises.</w:t>
      </w:r>
    </w:p>
    <w:p w14:paraId="5158DA9F" w14:textId="77777777" w:rsidR="0052081F" w:rsidRPr="00F73E66" w:rsidRDefault="0052081F" w:rsidP="005F7AE5">
      <w:pPr>
        <w:pStyle w:val="PNumberlevel1"/>
        <w:numPr>
          <w:ilvl w:val="0"/>
          <w:numId w:val="12"/>
        </w:numPr>
      </w:pPr>
      <w:r w:rsidRPr="00F73E66">
        <w:t>Mentorship pairing with experienced Quadrant program leaders.</w:t>
      </w:r>
    </w:p>
    <w:p w14:paraId="58C7D6D6" w14:textId="77777777" w:rsidR="0052081F" w:rsidRPr="00F73E66" w:rsidRDefault="0052081F" w:rsidP="006B5397">
      <w:pPr>
        <w:pStyle w:val="PBodytext"/>
      </w:pPr>
      <w:r w:rsidRPr="00F73E66">
        <w:t>Completion of this onboarding curriculum is a prerequisite for active assignment to CalSAWS workstreams.</w:t>
      </w:r>
    </w:p>
    <w:p w14:paraId="0589AEC1" w14:textId="7C59A29A" w:rsidR="0052081F" w:rsidRPr="00601A9A" w:rsidRDefault="0052081F" w:rsidP="00C22EE1">
      <w:pPr>
        <w:pStyle w:val="PSubheading3"/>
      </w:pPr>
      <w:bookmarkStart w:id="47" w:name="_Toc211632701"/>
      <w:bookmarkStart w:id="48" w:name="_Toc212236337"/>
      <w:r w:rsidRPr="00601A9A">
        <w:lastRenderedPageBreak/>
        <w:t>Succession and Continuity Planning</w:t>
      </w:r>
      <w:bookmarkEnd w:id="47"/>
      <w:bookmarkEnd w:id="48"/>
    </w:p>
    <w:p w14:paraId="26D54365" w14:textId="77777777" w:rsidR="00814324" w:rsidRPr="006B5397" w:rsidRDefault="0052081F" w:rsidP="006B5397">
      <w:pPr>
        <w:pStyle w:val="PBodytext"/>
      </w:pPr>
      <w:r w:rsidRPr="006B5397">
        <w:t>Quadrant maintains a pre-qualified bench of back-up resources for each Key Staff role.</w:t>
      </w:r>
      <w:r w:rsidRPr="006B5397">
        <w:br/>
        <w:t>In the event of a planned or unplanned staff transition, Quadrant shall implement a 30-day shadowing and knowledge transfer process to preserve continuity.</w:t>
      </w:r>
    </w:p>
    <w:p w14:paraId="63F2DB0E" w14:textId="2C5A7F60" w:rsidR="00AA7910" w:rsidRPr="006B5397" w:rsidRDefault="0052081F" w:rsidP="006B5397">
      <w:pPr>
        <w:pStyle w:val="PBodytext"/>
      </w:pPr>
      <w:r w:rsidRPr="006B5397">
        <w:t>All succession plans are approved by the Consortium prior to execution and tracked through Quadrant’s Workforce Continuity Register.</w:t>
      </w:r>
    </w:p>
    <w:p w14:paraId="732661FA" w14:textId="1C65EA88" w:rsidR="004A5651" w:rsidRPr="00F93DF0" w:rsidRDefault="004A5651" w:rsidP="005F7AE5">
      <w:pPr>
        <w:pStyle w:val="PSubheading2"/>
        <w:numPr>
          <w:ilvl w:val="0"/>
          <w:numId w:val="11"/>
        </w:numPr>
        <w:ind w:left="360"/>
      </w:pPr>
      <w:bookmarkStart w:id="49" w:name="_Toc211632702"/>
      <w:bookmarkStart w:id="50" w:name="_Toc212236338"/>
      <w:bookmarkStart w:id="51" w:name="_Toc212369221"/>
      <w:bookmarkStart w:id="52" w:name="_Toc212369292"/>
      <w:r w:rsidRPr="00F93DF0">
        <w:t>Organizational Structure</w:t>
      </w:r>
      <w:bookmarkEnd w:id="35"/>
      <w:bookmarkEnd w:id="49"/>
      <w:bookmarkEnd w:id="50"/>
      <w:bookmarkEnd w:id="51"/>
      <w:bookmarkEnd w:id="52"/>
    </w:p>
    <w:p w14:paraId="7C3DA01A" w14:textId="505CBBC3" w:rsidR="00475B2B" w:rsidRPr="00F678FA" w:rsidRDefault="00475B2B" w:rsidP="00C22EE1">
      <w:pPr>
        <w:pStyle w:val="PSubheading3"/>
      </w:pPr>
      <w:bookmarkStart w:id="53" w:name="_Toc211632703"/>
      <w:bookmarkStart w:id="54" w:name="_Toc212236339"/>
      <w:r w:rsidRPr="00F678FA">
        <w:t>Overview</w:t>
      </w:r>
      <w:bookmarkEnd w:id="53"/>
      <w:bookmarkEnd w:id="54"/>
    </w:p>
    <w:p w14:paraId="64075527" w14:textId="77777777" w:rsidR="00880B55" w:rsidRDefault="00475B2B" w:rsidP="0003176B">
      <w:pPr>
        <w:pStyle w:val="PBodytext"/>
      </w:pPr>
      <w:r w:rsidRPr="00F73E66">
        <w:t>Quadrant Technologies’ organizational structure for the CalSAWS QA Services engagement has been deliberately designed to provide both clear lines of accountability and transparent collaboration with all participating project entities.</w:t>
      </w:r>
    </w:p>
    <w:p w14:paraId="6333FCBB" w14:textId="0152E427" w:rsidR="00475B2B" w:rsidRPr="00F73E66" w:rsidRDefault="00475B2B" w:rsidP="0003176B">
      <w:pPr>
        <w:pStyle w:val="PBodytext"/>
      </w:pPr>
      <w:r w:rsidRPr="00F73E66">
        <w:t>The structure aligns with CalSAWS’ governance framework, ensuring that every QA function—strategic, functional, technical, and administrative—is represented within an integrated oversight model.</w:t>
      </w:r>
    </w:p>
    <w:p w14:paraId="712167FA" w14:textId="77777777" w:rsidR="003B20D7" w:rsidRDefault="00475B2B" w:rsidP="0003176B">
      <w:pPr>
        <w:pStyle w:val="PBodytext"/>
      </w:pPr>
      <w:r w:rsidRPr="00F73E66">
        <w:t>The QA Project Manager (QAPM) acts as the single point of accountability to the Consortium QA Director. Under the QAPM, three vertical leads manage Functional QA, Test Management, and Technical QA domains.</w:t>
      </w:r>
    </w:p>
    <w:p w14:paraId="628E2A92" w14:textId="0CA246B3" w:rsidR="009E2C4C" w:rsidRDefault="00475B2B" w:rsidP="0003176B">
      <w:pPr>
        <w:pStyle w:val="PBodytext"/>
      </w:pPr>
      <w:r w:rsidRPr="00F73E66">
        <w:t xml:space="preserve">Each </w:t>
      </w:r>
      <w:r w:rsidR="00CF4C08" w:rsidRPr="00F73E66">
        <w:t>leads</w:t>
      </w:r>
      <w:r w:rsidRPr="00F73E66">
        <w:t xml:space="preserve"> oversees specialist teams of analysts, automation engineers, and performance testers, while matrixed liaisons support county interfaces and vendor coordination.</w:t>
      </w:r>
    </w:p>
    <w:p w14:paraId="0D01C311" w14:textId="77777777" w:rsidR="00331AA0" w:rsidRDefault="00943825" w:rsidP="00542283">
      <w:pPr>
        <w:pStyle w:val="PBodytext"/>
        <w:keepNext/>
        <w:jc w:val="center"/>
      </w:pPr>
      <w:r>
        <w:rPr>
          <w:noProof/>
        </w:rPr>
        <w:drawing>
          <wp:inline distT="0" distB="0" distL="0" distR="0" wp14:anchorId="378B027D" wp14:editId="277A985F">
            <wp:extent cx="4937760" cy="3216613"/>
            <wp:effectExtent l="0" t="0" r="0" b="3175"/>
            <wp:docPr id="24199973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37760" cy="3216613"/>
                    </a:xfrm>
                    <a:prstGeom prst="rect">
                      <a:avLst/>
                    </a:prstGeom>
                    <a:noFill/>
                  </pic:spPr>
                </pic:pic>
              </a:graphicData>
            </a:graphic>
          </wp:inline>
        </w:drawing>
      </w:r>
    </w:p>
    <w:p w14:paraId="30DF0113" w14:textId="7ED1A4B1" w:rsidR="009E2C4C" w:rsidRDefault="00331AA0" w:rsidP="00542283">
      <w:pPr>
        <w:pStyle w:val="CaptionFigure"/>
      </w:pPr>
      <w:bookmarkStart w:id="55" w:name="_Toc212409053"/>
      <w:r>
        <w:t xml:space="preserve">Figure </w:t>
      </w:r>
      <w:fldSimple w:instr=" SEQ Figure \* ARABIC ">
        <w:r w:rsidR="00324369">
          <w:rPr>
            <w:noProof/>
          </w:rPr>
          <w:t>1</w:t>
        </w:r>
      </w:fldSimple>
      <w:r w:rsidR="00F504B3">
        <w:t>. Organization Chart</w:t>
      </w:r>
      <w:bookmarkEnd w:id="55"/>
    </w:p>
    <w:p w14:paraId="0A03C0C4" w14:textId="77777777" w:rsidR="002021DC" w:rsidRPr="002021DC" w:rsidRDefault="002021DC" w:rsidP="002021DC"/>
    <w:p w14:paraId="53F75138" w14:textId="12BC1AF4" w:rsidR="00475B2B" w:rsidRPr="00026A21" w:rsidRDefault="00475B2B" w:rsidP="00C22EE1">
      <w:pPr>
        <w:pStyle w:val="PSubheading3"/>
      </w:pPr>
      <w:bookmarkStart w:id="56" w:name="_Toc211632704"/>
      <w:bookmarkStart w:id="57" w:name="_Toc212236340"/>
      <w:r w:rsidRPr="00026A21">
        <w:lastRenderedPageBreak/>
        <w:t>Governance Integration</w:t>
      </w:r>
      <w:bookmarkEnd w:id="56"/>
      <w:bookmarkEnd w:id="57"/>
    </w:p>
    <w:p w14:paraId="51F3BFB6" w14:textId="77777777" w:rsidR="00475B2B" w:rsidRPr="0003176B" w:rsidRDefault="00475B2B" w:rsidP="0003176B">
      <w:pPr>
        <w:pStyle w:val="PBodytext"/>
      </w:pPr>
      <w:r w:rsidRPr="0003176B">
        <w:t>The Quadrant QA team participates in CalSAWS governance bodies through defined representation:</w:t>
      </w:r>
    </w:p>
    <w:p w14:paraId="0F0E9850" w14:textId="77777777" w:rsidR="00475B2B" w:rsidRPr="00F73E66" w:rsidRDefault="00475B2B" w:rsidP="00B43DC3">
      <w:pPr>
        <w:pStyle w:val="PBulletlevel1"/>
      </w:pPr>
      <w:r w:rsidRPr="00F73E66">
        <w:rPr>
          <w:b/>
          <w:bCs/>
        </w:rPr>
        <w:t>Executive Oversight Board:</w:t>
      </w:r>
      <w:r w:rsidRPr="00F73E66">
        <w:t xml:space="preserve"> Quadrant’s Delivery Partner attends monthly executive reviews to report on QA metrics, trends, and risk escalations.</w:t>
      </w:r>
    </w:p>
    <w:p w14:paraId="3DF5FDD1" w14:textId="77777777" w:rsidR="00475B2B" w:rsidRPr="00F73E66" w:rsidRDefault="00475B2B" w:rsidP="00B43DC3">
      <w:pPr>
        <w:pStyle w:val="PBulletlevel1"/>
      </w:pPr>
      <w:r w:rsidRPr="00F73E66">
        <w:rPr>
          <w:b/>
          <w:bCs/>
        </w:rPr>
        <w:t>Project Steering Committee (PSC):</w:t>
      </w:r>
      <w:r w:rsidRPr="00F73E66">
        <w:t xml:space="preserve"> The QAPM provides QA performance summaries and corrective action plans.</w:t>
      </w:r>
    </w:p>
    <w:p w14:paraId="21172314" w14:textId="77777777" w:rsidR="00475B2B" w:rsidRPr="00F73E66" w:rsidRDefault="00475B2B" w:rsidP="00B43DC3">
      <w:pPr>
        <w:pStyle w:val="PBulletlevel1"/>
      </w:pPr>
      <w:r w:rsidRPr="00F73E66">
        <w:rPr>
          <w:b/>
          <w:bCs/>
        </w:rPr>
        <w:t>QA Coordination Workgroup:</w:t>
      </w:r>
      <w:r w:rsidRPr="00F73E66">
        <w:t xml:space="preserve"> Functional and Technical Leads collaborate with CalSAWS counterparts to synchronize test cycles, tools, and environments.</w:t>
      </w:r>
    </w:p>
    <w:p w14:paraId="0FA97C2D" w14:textId="77777777" w:rsidR="00475B2B" w:rsidRPr="00F73E66" w:rsidRDefault="00475B2B" w:rsidP="00B43DC3">
      <w:pPr>
        <w:pStyle w:val="PBulletlevel1"/>
      </w:pPr>
      <w:r w:rsidRPr="00F73E66">
        <w:rPr>
          <w:b/>
          <w:bCs/>
        </w:rPr>
        <w:t>County Engagement Forum:</w:t>
      </w:r>
      <w:r w:rsidRPr="00F73E66">
        <w:t xml:space="preserve"> QA representatives participate in User Acceptance Testing (UAT) reviews and benefits validation sessions.</w:t>
      </w:r>
    </w:p>
    <w:p w14:paraId="740D8FE1" w14:textId="77777777" w:rsidR="00475B2B" w:rsidRDefault="00475B2B" w:rsidP="0003176B">
      <w:pPr>
        <w:pStyle w:val="PBodytext"/>
      </w:pPr>
      <w:r w:rsidRPr="00F73E66">
        <w:t>This multi-tier integration ensures bidirectional visibility between strategic and operational QA functions.</w:t>
      </w:r>
    </w:p>
    <w:p w14:paraId="47559A28" w14:textId="0925610C" w:rsidR="00475B2B" w:rsidRPr="00026A21" w:rsidRDefault="00475B2B" w:rsidP="00C22EE1">
      <w:pPr>
        <w:pStyle w:val="PSubheading3"/>
      </w:pPr>
      <w:bookmarkStart w:id="58" w:name="_Toc211632705"/>
      <w:bookmarkStart w:id="59" w:name="_Toc212236341"/>
      <w:r w:rsidRPr="00026A21">
        <w:t>Reporting and Escalation Lines</w:t>
      </w:r>
      <w:bookmarkEnd w:id="58"/>
      <w:bookmarkEnd w:id="59"/>
    </w:p>
    <w:p w14:paraId="3A07CE44" w14:textId="77777777" w:rsidR="00475B2B" w:rsidRPr="0003176B" w:rsidRDefault="00475B2B" w:rsidP="0003176B">
      <w:pPr>
        <w:pStyle w:val="PBodytext"/>
      </w:pPr>
      <w:r w:rsidRPr="0003176B">
        <w:t>All QA resources adhere to Quadrant’s dual-reporting framework:</w:t>
      </w:r>
    </w:p>
    <w:p w14:paraId="5880E975" w14:textId="77777777" w:rsidR="00475B2B" w:rsidRPr="00F73E66" w:rsidRDefault="00475B2B" w:rsidP="005F7AE5">
      <w:pPr>
        <w:pStyle w:val="PNumberlevel1"/>
        <w:numPr>
          <w:ilvl w:val="0"/>
          <w:numId w:val="13"/>
        </w:numPr>
      </w:pPr>
      <w:r w:rsidRPr="00F73E66">
        <w:t>Functional reporting to CalSAWS project management for task alignment.</w:t>
      </w:r>
    </w:p>
    <w:p w14:paraId="648916C7" w14:textId="77777777" w:rsidR="00475B2B" w:rsidRPr="00F73E66" w:rsidRDefault="00475B2B" w:rsidP="005F7AE5">
      <w:pPr>
        <w:pStyle w:val="PNumberlevel1"/>
        <w:numPr>
          <w:ilvl w:val="0"/>
          <w:numId w:val="13"/>
        </w:numPr>
      </w:pPr>
      <w:r w:rsidRPr="00F73E66">
        <w:t>Administrative reporting within Quadrant for personnel management and QA methodology adherence.</w:t>
      </w:r>
    </w:p>
    <w:p w14:paraId="66CCB1A8" w14:textId="77777777" w:rsidR="002B0B93" w:rsidRDefault="00475B2B" w:rsidP="0003176B">
      <w:pPr>
        <w:pStyle w:val="PBodytext"/>
      </w:pPr>
      <w:r w:rsidRPr="00F73E66">
        <w:t>Escalations follow a tiered path: Team Lead → Domain Manager → QAPM → Delivery Partner.</w:t>
      </w:r>
    </w:p>
    <w:p w14:paraId="7A3BB1FF" w14:textId="4B5714FB" w:rsidR="00475B2B" w:rsidRPr="00F73E66" w:rsidRDefault="00475B2B" w:rsidP="0003176B">
      <w:pPr>
        <w:pStyle w:val="PBodytext"/>
      </w:pPr>
      <w:r w:rsidRPr="00F73E66">
        <w:t>Each escalation step has defined service-level targets for acknowledgment and resolution.</w:t>
      </w:r>
    </w:p>
    <w:p w14:paraId="5F287E71" w14:textId="52AA5D24" w:rsidR="00475B2B" w:rsidRPr="00660381" w:rsidRDefault="00475B2B" w:rsidP="00C22EE1">
      <w:pPr>
        <w:pStyle w:val="PSubheading3"/>
      </w:pPr>
      <w:bookmarkStart w:id="60" w:name="_Toc211632706"/>
      <w:bookmarkStart w:id="61" w:name="_Toc212236342"/>
      <w:r w:rsidRPr="00660381">
        <w:t>Independence and Objectivity</w:t>
      </w:r>
      <w:bookmarkEnd w:id="60"/>
      <w:bookmarkEnd w:id="61"/>
    </w:p>
    <w:p w14:paraId="2F87AA2A" w14:textId="77777777" w:rsidR="00475B2B" w:rsidRPr="00A81B04" w:rsidRDefault="00475B2B" w:rsidP="00A81B04">
      <w:pPr>
        <w:pStyle w:val="PBodytext"/>
      </w:pPr>
      <w:r w:rsidRPr="00A81B04">
        <w:t>Although fully integrated with project operations, Quadrant maintains a formal independence policy to preserve QA objectivity. All QA findings are documented within the Quality Management Repository and reported without modification to the Consortium’s QA Director.</w:t>
      </w:r>
    </w:p>
    <w:p w14:paraId="0297E36E" w14:textId="2937A229" w:rsidR="00475B2B" w:rsidRPr="00244637" w:rsidRDefault="00475B2B" w:rsidP="00C22EE1">
      <w:pPr>
        <w:pStyle w:val="PSubheading3"/>
      </w:pPr>
      <w:bookmarkStart w:id="62" w:name="_Toc211632707"/>
      <w:bookmarkStart w:id="63" w:name="_Toc212236343"/>
      <w:r w:rsidRPr="00244637">
        <w:t>Communication Model</w:t>
      </w:r>
      <w:bookmarkEnd w:id="62"/>
      <w:bookmarkEnd w:id="63"/>
    </w:p>
    <w:p w14:paraId="17FCA218" w14:textId="77777777" w:rsidR="00475B2B" w:rsidRPr="00A81B04" w:rsidRDefault="00475B2B" w:rsidP="00A81B04">
      <w:pPr>
        <w:pStyle w:val="PBodytext"/>
      </w:pPr>
      <w:r w:rsidRPr="00A81B04">
        <w:t>Quadrant’s communication model follows a “three-lane” approach:</w:t>
      </w:r>
    </w:p>
    <w:p w14:paraId="51E32FDD" w14:textId="77777777" w:rsidR="00475B2B" w:rsidRPr="00F73E66" w:rsidRDefault="00475B2B" w:rsidP="00B43DC3">
      <w:pPr>
        <w:pStyle w:val="PBulletlevel1"/>
      </w:pPr>
      <w:r w:rsidRPr="00F73E66">
        <w:rPr>
          <w:b/>
          <w:bCs/>
        </w:rPr>
        <w:t>Lane 1 – Operational Communication:</w:t>
      </w:r>
      <w:r w:rsidRPr="00F73E66">
        <w:t xml:space="preserve"> Daily defect status calls and agile stand-ups between QA and development teams.</w:t>
      </w:r>
    </w:p>
    <w:p w14:paraId="13B00429" w14:textId="77777777" w:rsidR="00475B2B" w:rsidRPr="00F73E66" w:rsidRDefault="00475B2B" w:rsidP="00B43DC3">
      <w:pPr>
        <w:pStyle w:val="PBulletlevel1"/>
      </w:pPr>
      <w:r w:rsidRPr="00F73E66">
        <w:rPr>
          <w:b/>
          <w:bCs/>
        </w:rPr>
        <w:t>Lane 2 – Governance Communication:</w:t>
      </w:r>
      <w:r w:rsidRPr="00F73E66">
        <w:t xml:space="preserve"> Weekly QA summary reports to the PSC and stakeholders.</w:t>
      </w:r>
    </w:p>
    <w:p w14:paraId="629C4853" w14:textId="77777777" w:rsidR="00475B2B" w:rsidRPr="00F73E66" w:rsidRDefault="00475B2B" w:rsidP="00B43DC3">
      <w:pPr>
        <w:pStyle w:val="PBulletlevel1"/>
      </w:pPr>
      <w:r w:rsidRPr="00F73E66">
        <w:rPr>
          <w:b/>
          <w:bCs/>
        </w:rPr>
        <w:t>Lane 3 – Executive Reporting:</w:t>
      </w:r>
      <w:r w:rsidRPr="00F73E66">
        <w:t xml:space="preserve"> Monthly program health dashboard for executive oversight.</w:t>
      </w:r>
    </w:p>
    <w:p w14:paraId="0B82F393" w14:textId="54A76466" w:rsidR="0057556D" w:rsidRPr="000A779B" w:rsidRDefault="0057556D" w:rsidP="004F52FD">
      <w:pPr>
        <w:pStyle w:val="PSubheading2"/>
        <w:numPr>
          <w:ilvl w:val="0"/>
          <w:numId w:val="11"/>
        </w:numPr>
        <w:ind w:left="360"/>
      </w:pPr>
      <w:bookmarkStart w:id="64" w:name="_Toc209082410"/>
      <w:bookmarkStart w:id="65" w:name="_Toc211632708"/>
      <w:bookmarkStart w:id="66" w:name="_Toc212236344"/>
      <w:bookmarkStart w:id="67" w:name="_Toc212369222"/>
      <w:bookmarkStart w:id="68" w:name="_Toc212369293"/>
      <w:r w:rsidRPr="000A779B">
        <w:t>Staffing Lifecycle</w:t>
      </w:r>
      <w:bookmarkEnd w:id="64"/>
      <w:bookmarkEnd w:id="65"/>
      <w:bookmarkEnd w:id="66"/>
      <w:bookmarkEnd w:id="67"/>
      <w:bookmarkEnd w:id="68"/>
    </w:p>
    <w:p w14:paraId="4257C7D1" w14:textId="7C64C3C4" w:rsidR="006C16DA" w:rsidRPr="00BA113C" w:rsidRDefault="006C16DA" w:rsidP="00C22EE1">
      <w:pPr>
        <w:pStyle w:val="PSubheading3"/>
      </w:pPr>
      <w:bookmarkStart w:id="69" w:name="_Toc211632709"/>
      <w:bookmarkStart w:id="70" w:name="_Toc212236345"/>
      <w:bookmarkStart w:id="71" w:name="_Toc209082411"/>
      <w:r w:rsidRPr="00BA113C">
        <w:t>Overview</w:t>
      </w:r>
      <w:bookmarkEnd w:id="69"/>
      <w:bookmarkEnd w:id="70"/>
    </w:p>
    <w:p w14:paraId="7333DA4D" w14:textId="77777777" w:rsidR="00BA113C" w:rsidRPr="00CB584D" w:rsidRDefault="006C16DA" w:rsidP="00CB584D">
      <w:pPr>
        <w:pStyle w:val="PBodytext"/>
      </w:pPr>
      <w:r w:rsidRPr="00CB584D">
        <w:t xml:space="preserve">The QA staffing lifecycle comprises three major phases: Transition-In, Implementation, and Maintenance &amp; Operations (M&amp;O). Each phase includes distinct activities, </w:t>
      </w:r>
      <w:r w:rsidRPr="00CB584D">
        <w:lastRenderedPageBreak/>
        <w:t>deliverables, and staffing configurations to ensure continuity and incremental value delivery.</w:t>
      </w:r>
    </w:p>
    <w:p w14:paraId="2AC44634" w14:textId="1327A6BA" w:rsidR="00910101" w:rsidRPr="00CB584D" w:rsidRDefault="006C16DA" w:rsidP="00CB584D">
      <w:pPr>
        <w:pStyle w:val="PBodytext"/>
      </w:pPr>
      <w:r w:rsidRPr="00CB584D">
        <w:t>Quadrant’s approach is modeled on an iterative quality maturity curve that progressively optimizes QA capability through the program timeline.</w:t>
      </w:r>
    </w:p>
    <w:p w14:paraId="39C6F943" w14:textId="0C80D041" w:rsidR="0057556D" w:rsidRPr="00C70DD6" w:rsidRDefault="0057556D" w:rsidP="00C22EE1">
      <w:pPr>
        <w:pStyle w:val="PSubheading3"/>
      </w:pPr>
      <w:bookmarkStart w:id="72" w:name="_Toc211632710"/>
      <w:bookmarkStart w:id="73" w:name="_Toc212236346"/>
      <w:r w:rsidRPr="00C70DD6">
        <w:t>Transition-In Phase</w:t>
      </w:r>
      <w:bookmarkEnd w:id="71"/>
      <w:bookmarkEnd w:id="72"/>
      <w:bookmarkEnd w:id="73"/>
    </w:p>
    <w:p w14:paraId="20ED19A7" w14:textId="23EB07CA" w:rsidR="00545971" w:rsidRPr="00CB584D" w:rsidRDefault="00CB584D" w:rsidP="00CB584D">
      <w:pPr>
        <w:pStyle w:val="PBodytext"/>
        <w:rPr>
          <w:b/>
          <w:bCs/>
        </w:rPr>
      </w:pPr>
      <w:bookmarkStart w:id="74" w:name="_Toc211632711"/>
      <w:r w:rsidRPr="00CB584D">
        <w:rPr>
          <w:b/>
          <w:bCs/>
        </w:rPr>
        <w:t xml:space="preserve">4.2.1 </w:t>
      </w:r>
      <w:r w:rsidR="00545971" w:rsidRPr="00CB584D">
        <w:rPr>
          <w:b/>
          <w:bCs/>
        </w:rPr>
        <w:t>Purpose and Objectives</w:t>
      </w:r>
      <w:bookmarkEnd w:id="74"/>
    </w:p>
    <w:p w14:paraId="586020F0" w14:textId="2801F640" w:rsidR="000515A6" w:rsidRPr="00CB584D" w:rsidRDefault="0059515A" w:rsidP="00CB584D">
      <w:pPr>
        <w:pStyle w:val="PBodytext"/>
      </w:pPr>
      <w:r w:rsidRPr="00CB584D">
        <w:t>Transition</w:t>
      </w:r>
      <w:r w:rsidR="00545971" w:rsidRPr="00CB584D">
        <w:t>-In Phase establishes the foundation for effective QA operations. It focuses on knowledge transfer, environment setup, resource onboarding, and baseline metrics definition.</w:t>
      </w:r>
    </w:p>
    <w:p w14:paraId="42FDED44" w14:textId="48CC1576" w:rsidR="00545971" w:rsidRPr="00CB584D" w:rsidRDefault="00545971" w:rsidP="00CB584D">
      <w:pPr>
        <w:pStyle w:val="PBodytext"/>
      </w:pPr>
      <w:r w:rsidRPr="00CB584D">
        <w:t>Key objectives include:</w:t>
      </w:r>
    </w:p>
    <w:p w14:paraId="22841C20" w14:textId="77777777" w:rsidR="00545971" w:rsidRPr="00CB584D" w:rsidRDefault="00545971" w:rsidP="00B43DC3">
      <w:pPr>
        <w:pStyle w:val="PBulletlevel1"/>
      </w:pPr>
      <w:r w:rsidRPr="00CB584D">
        <w:t>Establishing the QA Charter and Governance Plan.</w:t>
      </w:r>
    </w:p>
    <w:p w14:paraId="4137C9F9" w14:textId="77777777" w:rsidR="00545971" w:rsidRPr="00CB584D" w:rsidRDefault="00545971" w:rsidP="00B43DC3">
      <w:pPr>
        <w:pStyle w:val="PBulletlevel1"/>
      </w:pPr>
      <w:r w:rsidRPr="00CB584D">
        <w:t>Validating CalSAWS requirements traceability mechanisms.</w:t>
      </w:r>
    </w:p>
    <w:p w14:paraId="144C20D6" w14:textId="77777777" w:rsidR="00545971" w:rsidRPr="00CB584D" w:rsidRDefault="00545971" w:rsidP="00B43DC3">
      <w:pPr>
        <w:pStyle w:val="PBulletlevel1"/>
      </w:pPr>
      <w:r w:rsidRPr="00CB584D">
        <w:t>Setting up communication protocols and reporting templates.</w:t>
      </w:r>
    </w:p>
    <w:p w14:paraId="1A6525EE" w14:textId="77777777" w:rsidR="00F54D73" w:rsidRDefault="00545971" w:rsidP="00B43DC3">
      <w:pPr>
        <w:pStyle w:val="PBulletlevel1"/>
      </w:pPr>
      <w:r w:rsidRPr="00CB584D">
        <w:t>Completing training and security clearance for all staff.</w:t>
      </w:r>
      <w:r w:rsidR="00F54D73">
        <w:t xml:space="preserve"> </w:t>
      </w:r>
    </w:p>
    <w:p w14:paraId="3F6D2F98" w14:textId="77777777" w:rsidR="00F54D73" w:rsidRDefault="00F54D73" w:rsidP="00B43DC3">
      <w:pPr>
        <w:pStyle w:val="PBulletlevel1"/>
      </w:pPr>
      <w:r w:rsidRPr="00F54D73">
        <w:t>Establishing automation readiness and AI-assisted quality baselines to accelerate early testing and risk prediction.</w:t>
      </w:r>
    </w:p>
    <w:p w14:paraId="4794813E" w14:textId="1EA873BF" w:rsidR="00545971" w:rsidRPr="00CB584D" w:rsidRDefault="00F54D73" w:rsidP="00B43DC3">
      <w:pPr>
        <w:pStyle w:val="PBulletlevel1"/>
      </w:pPr>
      <w:r w:rsidRPr="00F54D73">
        <w:t>Creating the foundation for collaborative governance between Quadrant, CalSAWS, and vendor teams using integrated dashboards and communication frameworks</w:t>
      </w:r>
    </w:p>
    <w:p w14:paraId="272EF6A6" w14:textId="31C97D22" w:rsidR="00545971" w:rsidRPr="00C07F61" w:rsidRDefault="00C07F61" w:rsidP="00C07F61">
      <w:pPr>
        <w:pStyle w:val="PBodytext"/>
        <w:rPr>
          <w:b/>
          <w:bCs/>
        </w:rPr>
      </w:pPr>
      <w:bookmarkStart w:id="75" w:name="_Toc211632712"/>
      <w:r w:rsidRPr="00C07F61">
        <w:rPr>
          <w:b/>
          <w:bCs/>
        </w:rPr>
        <w:t xml:space="preserve">4.2.2 </w:t>
      </w:r>
      <w:r w:rsidR="00545971" w:rsidRPr="00C07F61">
        <w:rPr>
          <w:b/>
          <w:bCs/>
        </w:rPr>
        <w:t>Key Activities</w:t>
      </w:r>
      <w:bookmarkEnd w:id="75"/>
    </w:p>
    <w:p w14:paraId="4FB910F3" w14:textId="77777777" w:rsidR="00545971" w:rsidRPr="00F73E66" w:rsidRDefault="00545971" w:rsidP="005F7AE5">
      <w:pPr>
        <w:pStyle w:val="PNumberlevel1"/>
        <w:numPr>
          <w:ilvl w:val="0"/>
          <w:numId w:val="14"/>
        </w:numPr>
      </w:pPr>
      <w:r w:rsidRPr="00B43DC3">
        <w:rPr>
          <w:b/>
          <w:bCs/>
        </w:rPr>
        <w:t>Kickoff Workshop:</w:t>
      </w:r>
      <w:r w:rsidRPr="00F73E66">
        <w:t xml:space="preserve"> Joint session with CalSAWS leadership to review program goals and transition timeline.</w:t>
      </w:r>
    </w:p>
    <w:p w14:paraId="54E8EF24" w14:textId="77777777" w:rsidR="00EC6658" w:rsidRDefault="00545971" w:rsidP="005F7AE5">
      <w:pPr>
        <w:pStyle w:val="PNumberlevel1"/>
        <w:numPr>
          <w:ilvl w:val="0"/>
          <w:numId w:val="14"/>
        </w:numPr>
      </w:pPr>
      <w:r w:rsidRPr="00B43DC3">
        <w:rPr>
          <w:b/>
          <w:bCs/>
        </w:rPr>
        <w:t>Knowledge Acquisition:</w:t>
      </w:r>
      <w:r w:rsidRPr="00F73E66">
        <w:t xml:space="preserve"> Structured shadowing of existing QA and development teams to understand current test artifacts and pain points.</w:t>
      </w:r>
      <w:r w:rsidR="00EC6658">
        <w:t xml:space="preserve"> </w:t>
      </w:r>
    </w:p>
    <w:p w14:paraId="09CC2188" w14:textId="487F0822" w:rsidR="00545971" w:rsidRDefault="00EC6658" w:rsidP="005F7AE5">
      <w:pPr>
        <w:pStyle w:val="PNumberlevel1"/>
        <w:numPr>
          <w:ilvl w:val="0"/>
          <w:numId w:val="14"/>
        </w:numPr>
      </w:pPr>
      <w:r w:rsidRPr="00EC6658">
        <w:rPr>
          <w:b/>
          <w:bCs/>
        </w:rPr>
        <w:t>Shadow Phase</w:t>
      </w:r>
      <w:r w:rsidRPr="00EC6658">
        <w:t xml:space="preserve"> – Quadrant team members </w:t>
      </w:r>
      <w:r w:rsidR="00193F8F" w:rsidRPr="00EC6658">
        <w:t>observe,</w:t>
      </w:r>
      <w:r w:rsidRPr="00EC6658">
        <w:t xml:space="preserve"> and document ongoing QA processes, tool configurations, and communication flows led by incumbent or </w:t>
      </w:r>
      <w:proofErr w:type="spellStart"/>
      <w:r w:rsidRPr="00EC6658">
        <w:t>CalSAWS</w:t>
      </w:r>
      <w:proofErr w:type="spellEnd"/>
      <w:r w:rsidRPr="00EC6658">
        <w:t xml:space="preserve"> teams</w:t>
      </w:r>
      <w:r w:rsidR="00CF4C08">
        <w:t>.</w:t>
      </w:r>
    </w:p>
    <w:p w14:paraId="3AD47EAE" w14:textId="4127E8C7" w:rsidR="00850DB1" w:rsidRPr="00F73E66" w:rsidRDefault="00850DB1" w:rsidP="005F7AE5">
      <w:pPr>
        <w:pStyle w:val="PNumberlevel1"/>
        <w:numPr>
          <w:ilvl w:val="0"/>
          <w:numId w:val="14"/>
        </w:numPr>
      </w:pPr>
      <w:r w:rsidRPr="00850DB1">
        <w:rPr>
          <w:b/>
          <w:bCs/>
        </w:rPr>
        <w:t>Primary Phase</w:t>
      </w:r>
      <w:r w:rsidRPr="00850DB1">
        <w:t xml:space="preserve"> – Quadrant assumes operational responsibility under close oversight, ensuring process fidelity, continuity of service, and accuracy of </w:t>
      </w:r>
      <w:r w:rsidR="00193F8F" w:rsidRPr="00850DB1">
        <w:t>deliverables.</w:t>
      </w:r>
    </w:p>
    <w:p w14:paraId="772F1D6B" w14:textId="77777777" w:rsidR="00545971" w:rsidRPr="00F73E66" w:rsidRDefault="00545971" w:rsidP="005F7AE5">
      <w:pPr>
        <w:pStyle w:val="PNumberlevel1"/>
        <w:numPr>
          <w:ilvl w:val="0"/>
          <w:numId w:val="14"/>
        </w:numPr>
      </w:pPr>
      <w:r w:rsidRPr="00B43DC3">
        <w:rPr>
          <w:b/>
          <w:bCs/>
        </w:rPr>
        <w:t>Environment Setup:</w:t>
      </w:r>
      <w:r w:rsidRPr="00F73E66">
        <w:t xml:space="preserve"> Configuration of test management tools, defect repositories, and automation pipelines.</w:t>
      </w:r>
    </w:p>
    <w:p w14:paraId="07B05CBB" w14:textId="77777777" w:rsidR="003336F6" w:rsidRPr="003336F6" w:rsidRDefault="00545971" w:rsidP="005F7AE5">
      <w:pPr>
        <w:pStyle w:val="PNumberlevel1"/>
        <w:numPr>
          <w:ilvl w:val="0"/>
          <w:numId w:val="14"/>
        </w:numPr>
      </w:pPr>
      <w:r w:rsidRPr="00B43DC3">
        <w:rPr>
          <w:b/>
          <w:bCs/>
        </w:rPr>
        <w:t>Baseline Assessment:</w:t>
      </w:r>
      <w:r w:rsidRPr="00F73E66">
        <w:t xml:space="preserve"> Establish initial KPIs (e.g., defect density, automation coverage).</w:t>
      </w:r>
      <w:r w:rsidR="003336F6" w:rsidRPr="003336F6">
        <w:rPr>
          <w:color w:val="auto"/>
          <w:szCs w:val="22"/>
        </w:rPr>
        <w:t xml:space="preserve"> </w:t>
      </w:r>
    </w:p>
    <w:p w14:paraId="658888DB" w14:textId="3BAA19E6" w:rsidR="00545971" w:rsidRDefault="003336F6" w:rsidP="005F7AE5">
      <w:pPr>
        <w:pStyle w:val="PNumberlevel1"/>
        <w:numPr>
          <w:ilvl w:val="0"/>
          <w:numId w:val="14"/>
        </w:numPr>
      </w:pPr>
      <w:r w:rsidRPr="003336F6">
        <w:rPr>
          <w:b/>
          <w:bCs/>
        </w:rPr>
        <w:t>Toolchain Integration</w:t>
      </w:r>
      <w:r w:rsidRPr="003336F6">
        <w:t xml:space="preserve">: Connect QA toolsets (e.g., Azure DevOps, Power BI, ServiceNow) into a unified </w:t>
      </w:r>
      <w:r w:rsidRPr="00241165">
        <w:t>QA Command Center,</w:t>
      </w:r>
      <w:r w:rsidRPr="003336F6">
        <w:t xml:space="preserve"> ensuring early visibility of test progress and risk trends.</w:t>
      </w:r>
    </w:p>
    <w:p w14:paraId="24F5B366" w14:textId="73D36EFF" w:rsidR="006032AE" w:rsidRPr="00F73E66" w:rsidRDefault="006032AE" w:rsidP="005F7AE5">
      <w:pPr>
        <w:pStyle w:val="PNumberlevel1"/>
        <w:numPr>
          <w:ilvl w:val="0"/>
          <w:numId w:val="14"/>
        </w:numPr>
      </w:pPr>
      <w:r w:rsidRPr="006032AE">
        <w:rPr>
          <w:b/>
          <w:bCs/>
        </w:rPr>
        <w:t>AI Enablement</w:t>
      </w:r>
      <w:r w:rsidRPr="006032AE">
        <w:t>: Deploy analytics hooks within automation pipelines to start collecting performance, defect, and coverage telemetry for continuous learning.</w:t>
      </w:r>
    </w:p>
    <w:p w14:paraId="41F7247B" w14:textId="77777777" w:rsidR="00545971" w:rsidRPr="00F73E66" w:rsidRDefault="00545971" w:rsidP="005F7AE5">
      <w:pPr>
        <w:pStyle w:val="PNumberlevel1"/>
        <w:numPr>
          <w:ilvl w:val="0"/>
          <w:numId w:val="14"/>
        </w:numPr>
      </w:pPr>
      <w:r w:rsidRPr="00B43DC3">
        <w:rPr>
          <w:b/>
          <w:bCs/>
        </w:rPr>
        <w:lastRenderedPageBreak/>
        <w:t>Stakeholder Mapping:</w:t>
      </w:r>
      <w:r w:rsidRPr="00F73E66">
        <w:t xml:space="preserve"> Identification of county and vendor contacts for each business domain.</w:t>
      </w:r>
    </w:p>
    <w:p w14:paraId="413F643E" w14:textId="2F51CECD" w:rsidR="00545971" w:rsidRPr="00B43DC3" w:rsidRDefault="00B43DC3" w:rsidP="004571DD">
      <w:pPr>
        <w:pStyle w:val="PBodytext"/>
        <w:keepNext/>
        <w:keepLines/>
        <w:rPr>
          <w:b/>
          <w:bCs/>
        </w:rPr>
      </w:pPr>
      <w:bookmarkStart w:id="76" w:name="_Toc211632713"/>
      <w:r>
        <w:rPr>
          <w:b/>
          <w:bCs/>
        </w:rPr>
        <w:t xml:space="preserve">4.2.3 </w:t>
      </w:r>
      <w:r w:rsidR="00545971" w:rsidRPr="00B43DC3">
        <w:rPr>
          <w:b/>
          <w:bCs/>
        </w:rPr>
        <w:t>Deliverables</w:t>
      </w:r>
      <w:bookmarkEnd w:id="76"/>
    </w:p>
    <w:p w14:paraId="37F56508" w14:textId="77777777" w:rsidR="00545971" w:rsidRPr="00B43DC3" w:rsidRDefault="00545971" w:rsidP="004571DD">
      <w:pPr>
        <w:pStyle w:val="PBulletlevel1"/>
        <w:keepNext/>
        <w:keepLines/>
      </w:pPr>
      <w:r w:rsidRPr="00B43DC3">
        <w:t>Transition-In Plan and Schedule</w:t>
      </w:r>
    </w:p>
    <w:p w14:paraId="5C31BAD2" w14:textId="77777777" w:rsidR="00545971" w:rsidRPr="00B43DC3" w:rsidRDefault="00545971" w:rsidP="00B43DC3">
      <w:pPr>
        <w:pStyle w:val="PBulletlevel1"/>
      </w:pPr>
      <w:r w:rsidRPr="00B43DC3">
        <w:t>QA Governance Plan</w:t>
      </w:r>
    </w:p>
    <w:p w14:paraId="7AD8FF19" w14:textId="77777777" w:rsidR="00545971" w:rsidRPr="00B43DC3" w:rsidRDefault="00545971" w:rsidP="00B43DC3">
      <w:pPr>
        <w:pStyle w:val="PBulletlevel1"/>
      </w:pPr>
      <w:r w:rsidRPr="00B43DC3">
        <w:t>Initial Resource Allocation Matrix</w:t>
      </w:r>
    </w:p>
    <w:p w14:paraId="71BF691A" w14:textId="77777777" w:rsidR="00545971" w:rsidRPr="00B43DC3" w:rsidRDefault="00545971" w:rsidP="00B43DC3">
      <w:pPr>
        <w:pStyle w:val="PBulletlevel1"/>
      </w:pPr>
      <w:r w:rsidRPr="00B43DC3">
        <w:t>Onboarding Completion Report</w:t>
      </w:r>
    </w:p>
    <w:p w14:paraId="572FF092" w14:textId="77777777" w:rsidR="00545971" w:rsidRDefault="00545971" w:rsidP="00B43DC3">
      <w:pPr>
        <w:pStyle w:val="PBulletlevel1"/>
      </w:pPr>
      <w:r w:rsidRPr="00B43DC3">
        <w:t>Risk Register</w:t>
      </w:r>
      <w:r w:rsidRPr="00F73E66">
        <w:t xml:space="preserve"> Baseline</w:t>
      </w:r>
    </w:p>
    <w:p w14:paraId="0C41E993" w14:textId="4F348140" w:rsidR="007967E1" w:rsidRPr="00F73E66" w:rsidRDefault="007967E1" w:rsidP="00B43DC3">
      <w:pPr>
        <w:pStyle w:val="PBulletlevel1"/>
      </w:pPr>
      <w:r>
        <w:t>Weekly Status Reports</w:t>
      </w:r>
    </w:p>
    <w:p w14:paraId="652D010E" w14:textId="2DF98B51" w:rsidR="00545971" w:rsidRPr="00B43DC3" w:rsidRDefault="00B43DC3" w:rsidP="00B43DC3">
      <w:pPr>
        <w:pStyle w:val="PBodytext"/>
        <w:rPr>
          <w:b/>
          <w:bCs/>
        </w:rPr>
      </w:pPr>
      <w:bookmarkStart w:id="77" w:name="_Toc211632714"/>
      <w:r>
        <w:rPr>
          <w:b/>
          <w:bCs/>
        </w:rPr>
        <w:t>4.2.</w:t>
      </w:r>
      <w:r w:rsidR="008A423E">
        <w:rPr>
          <w:b/>
          <w:bCs/>
        </w:rPr>
        <w:t xml:space="preserve">4 </w:t>
      </w:r>
      <w:r w:rsidR="00545971" w:rsidRPr="00B43DC3">
        <w:rPr>
          <w:b/>
          <w:bCs/>
        </w:rPr>
        <w:t>Staffing Composition</w:t>
      </w:r>
      <w:bookmarkEnd w:id="77"/>
    </w:p>
    <w:p w14:paraId="215560C9" w14:textId="0E4BC146" w:rsidR="0057556D" w:rsidRDefault="00545971" w:rsidP="000771E5">
      <w:pPr>
        <w:pStyle w:val="PBodytext"/>
      </w:pPr>
      <w:r w:rsidRPr="00F73E66">
        <w:t>During Transition-In, Quadrant deploys its core leadership team (approximately 1</w:t>
      </w:r>
      <w:r w:rsidR="00892953">
        <w:t>4</w:t>
      </w:r>
      <w:r w:rsidRPr="00F73E66">
        <w:t xml:space="preserve"> on-site resources): QAPM, three Domain Managers, Automation Lead, Performance Lead, Security Lead, and supporting analysts. This team establishes operational rhythm and knowledge capture.</w:t>
      </w:r>
      <w:r w:rsidR="00B10DE0">
        <w:t xml:space="preserve"> </w:t>
      </w:r>
      <w:r w:rsidR="00B10DE0" w:rsidRPr="00B10DE0">
        <w:t xml:space="preserve">During this phase, Quadrant emphasizes a </w:t>
      </w:r>
      <w:r w:rsidR="00B10DE0" w:rsidRPr="00B10DE0">
        <w:rPr>
          <w:b/>
          <w:bCs/>
        </w:rPr>
        <w:t>“hyper-collaborative start”</w:t>
      </w:r>
      <w:r w:rsidR="00B10DE0">
        <w:t>,</w:t>
      </w:r>
      <w:r w:rsidR="00B10DE0" w:rsidRPr="00B10DE0">
        <w:t xml:space="preserve"> embedding its core leadership directly with CalSAWS program and vendor teams to ensure rapid trust-building, transparent communication, and immediate value delivery. The Transition-In team also includes an </w:t>
      </w:r>
      <w:r w:rsidR="00B10DE0" w:rsidRPr="00B10DE0">
        <w:rPr>
          <w:b/>
          <w:bCs/>
        </w:rPr>
        <w:t>Automation Readiness Engineer</w:t>
      </w:r>
      <w:r w:rsidR="00B10DE0" w:rsidRPr="00B10DE0">
        <w:t xml:space="preserve"> and </w:t>
      </w:r>
      <w:r w:rsidR="00B10DE0" w:rsidRPr="00B10DE0">
        <w:rPr>
          <w:b/>
          <w:bCs/>
        </w:rPr>
        <w:t>Data QA Specialist</w:t>
      </w:r>
      <w:r w:rsidR="00B10DE0" w:rsidRPr="00B10DE0">
        <w:t>, enabling early configuration of regression baselines and validation frameworks to reduce ramp-up time.</w:t>
      </w:r>
    </w:p>
    <w:p w14:paraId="636ECE4B" w14:textId="6A3EEC17" w:rsidR="0057556D" w:rsidRPr="00C70DD6" w:rsidRDefault="0057556D" w:rsidP="00C22EE1">
      <w:pPr>
        <w:pStyle w:val="PSubheading3"/>
      </w:pPr>
      <w:bookmarkStart w:id="78" w:name="_Toc209082412"/>
      <w:bookmarkStart w:id="79" w:name="_Toc211632715"/>
      <w:bookmarkStart w:id="80" w:name="_Toc212236347"/>
      <w:r w:rsidRPr="00C70DD6">
        <w:t>Implementation Phase</w:t>
      </w:r>
      <w:bookmarkEnd w:id="78"/>
      <w:bookmarkEnd w:id="79"/>
      <w:bookmarkEnd w:id="80"/>
    </w:p>
    <w:p w14:paraId="65C47C95" w14:textId="19029767" w:rsidR="00D716CE" w:rsidRPr="008A423E" w:rsidRDefault="008A423E" w:rsidP="008A423E">
      <w:pPr>
        <w:pStyle w:val="PBodytext"/>
        <w:rPr>
          <w:b/>
          <w:bCs/>
        </w:rPr>
      </w:pPr>
      <w:bookmarkStart w:id="81" w:name="_Toc211632716"/>
      <w:bookmarkStart w:id="82" w:name="_Toc209082413"/>
      <w:r>
        <w:rPr>
          <w:b/>
          <w:bCs/>
        </w:rPr>
        <w:t xml:space="preserve">4.3.1 </w:t>
      </w:r>
      <w:r w:rsidR="00D716CE" w:rsidRPr="008A423E">
        <w:rPr>
          <w:b/>
          <w:bCs/>
        </w:rPr>
        <w:t>Overview</w:t>
      </w:r>
      <w:bookmarkEnd w:id="81"/>
    </w:p>
    <w:p w14:paraId="3DEC4A9A" w14:textId="77777777" w:rsidR="00D716CE" w:rsidRPr="00F73E66" w:rsidRDefault="00D716CE" w:rsidP="008A423E">
      <w:pPr>
        <w:pStyle w:val="PBodytext"/>
      </w:pPr>
      <w:r w:rsidRPr="00F73E66">
        <w:t>The Implementation Phase constitutes the core of Quadrant’s QA services. It encompasses test planning, execution, defect management, automation development, and reporting for all CalSAWS releases. Quadrant operates agile-aligned QA teams co-located with development streams to maximize collaboration and responsiveness.</w:t>
      </w:r>
    </w:p>
    <w:p w14:paraId="2CF6D40F" w14:textId="1C067862" w:rsidR="00D716CE" w:rsidRPr="008A423E" w:rsidRDefault="00BA5579" w:rsidP="008A423E">
      <w:pPr>
        <w:pStyle w:val="PBodytext"/>
        <w:rPr>
          <w:b/>
          <w:bCs/>
        </w:rPr>
      </w:pPr>
      <w:bookmarkStart w:id="83" w:name="_Toc211632717"/>
      <w:r>
        <w:rPr>
          <w:b/>
          <w:bCs/>
        </w:rPr>
        <w:t xml:space="preserve">4.3.2 </w:t>
      </w:r>
      <w:r w:rsidR="00D716CE" w:rsidRPr="008A423E">
        <w:rPr>
          <w:b/>
          <w:bCs/>
        </w:rPr>
        <w:t>Staffing Approach</w:t>
      </w:r>
      <w:bookmarkEnd w:id="83"/>
    </w:p>
    <w:p w14:paraId="6E965184" w14:textId="77777777" w:rsidR="00190757" w:rsidRDefault="00D716CE" w:rsidP="008A423E">
      <w:pPr>
        <w:pStyle w:val="PBodytext"/>
      </w:pPr>
      <w:r w:rsidRPr="00F73E66">
        <w:t>A hybrid staffing model ensures 70 percent onshore presence for business-critical QA activities while leveraging offshore centers for test execution and automation support.</w:t>
      </w:r>
    </w:p>
    <w:p w14:paraId="1431FC53" w14:textId="3FDBCEB8" w:rsidR="00D716CE" w:rsidRPr="00F73E66" w:rsidRDefault="00D716CE" w:rsidP="008A423E">
      <w:pPr>
        <w:pStyle w:val="PBodytext"/>
      </w:pPr>
      <w:r w:rsidRPr="00F73E66">
        <w:t>Roles during implementation include:</w:t>
      </w:r>
    </w:p>
    <w:p w14:paraId="5CA9AA75" w14:textId="77777777" w:rsidR="00D716CE" w:rsidRPr="00F73E66" w:rsidRDefault="00D716CE" w:rsidP="00BA5579">
      <w:pPr>
        <w:pStyle w:val="PBulletlevel1"/>
      </w:pPr>
      <w:r w:rsidRPr="00F73E66">
        <w:t>QA Project Manager – Program oversight and governance.</w:t>
      </w:r>
    </w:p>
    <w:p w14:paraId="73FD2E15" w14:textId="77777777" w:rsidR="00D716CE" w:rsidRPr="00F73E66" w:rsidRDefault="00D716CE" w:rsidP="00BA5579">
      <w:pPr>
        <w:pStyle w:val="PBulletlevel1"/>
      </w:pPr>
      <w:r w:rsidRPr="00F73E66">
        <w:t>Test Managers – Manage release-level testing activities.</w:t>
      </w:r>
    </w:p>
    <w:p w14:paraId="52DDC4D4" w14:textId="77777777" w:rsidR="00D716CE" w:rsidRPr="00F73E66" w:rsidRDefault="00D716CE" w:rsidP="00BA5579">
      <w:pPr>
        <w:pStyle w:val="PBulletlevel1"/>
      </w:pPr>
      <w:r w:rsidRPr="00F73E66">
        <w:t>Automation Engineers – Develop reusable test frameworks.</w:t>
      </w:r>
    </w:p>
    <w:p w14:paraId="20D4D3C2" w14:textId="77777777" w:rsidR="00D716CE" w:rsidRPr="00F73E66" w:rsidRDefault="00D716CE" w:rsidP="00BA5579">
      <w:pPr>
        <w:pStyle w:val="PBulletlevel1"/>
      </w:pPr>
      <w:r w:rsidRPr="00F73E66">
        <w:t>Performance Testers – Conduct load and stress testing.</w:t>
      </w:r>
    </w:p>
    <w:p w14:paraId="1FCC6BAE" w14:textId="77777777" w:rsidR="00D716CE" w:rsidRPr="00F73E66" w:rsidRDefault="00D716CE" w:rsidP="00BA5579">
      <w:pPr>
        <w:pStyle w:val="PBulletlevel1"/>
      </w:pPr>
      <w:r w:rsidRPr="00F73E66">
        <w:t>Functional Analysts – Execute test cases and validate business logic.</w:t>
      </w:r>
    </w:p>
    <w:p w14:paraId="004BC084" w14:textId="77777777" w:rsidR="00D716CE" w:rsidRPr="00F73E66" w:rsidRDefault="00D716CE" w:rsidP="00BA5579">
      <w:pPr>
        <w:pStyle w:val="PBulletlevel1"/>
      </w:pPr>
      <w:r w:rsidRPr="00F73E66">
        <w:t>Defect Coordinators – Track and manage defect resolution cycles.</w:t>
      </w:r>
    </w:p>
    <w:p w14:paraId="7525344F" w14:textId="05B4F58E" w:rsidR="00D716CE" w:rsidRPr="00BA5579" w:rsidRDefault="00BA5579" w:rsidP="00BA5579">
      <w:pPr>
        <w:pStyle w:val="PBodytext"/>
        <w:rPr>
          <w:b/>
          <w:bCs/>
        </w:rPr>
      </w:pPr>
      <w:bookmarkStart w:id="84" w:name="_Toc211632718"/>
      <w:r>
        <w:rPr>
          <w:b/>
          <w:bCs/>
        </w:rPr>
        <w:t xml:space="preserve">4.3.3 </w:t>
      </w:r>
      <w:r w:rsidR="00D716CE" w:rsidRPr="00BA5579">
        <w:rPr>
          <w:b/>
          <w:bCs/>
        </w:rPr>
        <w:t>Agile Integration</w:t>
      </w:r>
      <w:bookmarkEnd w:id="84"/>
    </w:p>
    <w:p w14:paraId="40B2BD76" w14:textId="77777777" w:rsidR="00E352B3" w:rsidRDefault="00D716CE" w:rsidP="00BA5579">
      <w:pPr>
        <w:pStyle w:val="PBodytext"/>
      </w:pPr>
      <w:r w:rsidRPr="00F73E66">
        <w:t>Each QA team is embedded within agile scrum teams and participates in daily stand-ups, sprint planning, and retrospectives.</w:t>
      </w:r>
    </w:p>
    <w:p w14:paraId="2F54A8EC" w14:textId="31F1E0CF" w:rsidR="00D716CE" w:rsidRPr="00F73E66" w:rsidRDefault="00D716CE" w:rsidP="00BA5579">
      <w:pPr>
        <w:pStyle w:val="PBodytext"/>
      </w:pPr>
      <w:r w:rsidRPr="00F73E66">
        <w:lastRenderedPageBreak/>
        <w:t>Automation scripts are integrated into CI/CD pipelines through Azure DevOps, enabling continuous testing and real-time feedback.</w:t>
      </w:r>
      <w:r w:rsidR="00D10970">
        <w:t xml:space="preserve"> </w:t>
      </w:r>
      <w:r w:rsidR="00D10970" w:rsidRPr="00D10970">
        <w:t>AI-enabled test analytics will identify high-risk modules for targeted regression, ensuring maximum ROI on automation efforts.</w:t>
      </w:r>
    </w:p>
    <w:p w14:paraId="5DE12F16" w14:textId="59B79250" w:rsidR="00D716CE" w:rsidRPr="00BA5579" w:rsidRDefault="00BA5579" w:rsidP="00BA5579">
      <w:pPr>
        <w:pStyle w:val="PBodytext"/>
        <w:rPr>
          <w:b/>
          <w:bCs/>
        </w:rPr>
      </w:pPr>
      <w:bookmarkStart w:id="85" w:name="_Toc211632719"/>
      <w:r>
        <w:rPr>
          <w:b/>
          <w:bCs/>
        </w:rPr>
        <w:t xml:space="preserve">4.3.4 </w:t>
      </w:r>
      <w:r w:rsidR="00D716CE" w:rsidRPr="00BA5579">
        <w:rPr>
          <w:b/>
          <w:bCs/>
        </w:rPr>
        <w:t>Performance and Security QA</w:t>
      </w:r>
      <w:bookmarkEnd w:id="85"/>
    </w:p>
    <w:p w14:paraId="57A3A216" w14:textId="77777777" w:rsidR="00103113" w:rsidRDefault="00D716CE" w:rsidP="00BA5579">
      <w:pPr>
        <w:pStyle w:val="PBodytext"/>
      </w:pPr>
      <w:r w:rsidRPr="00F73E66">
        <w:t>Performance testing is executed using JMeter and LoadRunner, with thresholds aligned to CalSAWS SLAs.</w:t>
      </w:r>
    </w:p>
    <w:p w14:paraId="22D85887" w14:textId="6611E5A4" w:rsidR="00D716CE" w:rsidRDefault="00D716CE" w:rsidP="00BA5579">
      <w:pPr>
        <w:pStyle w:val="PBodytext"/>
      </w:pPr>
      <w:r w:rsidRPr="00F73E66">
        <w:t>Security QA follows OWASP Top 10 guidelines and state security policy compliance, including vulnerability scanning via Burp Suite and ZAP.</w:t>
      </w:r>
    </w:p>
    <w:p w14:paraId="60C8FE58" w14:textId="6D975C5D" w:rsidR="00D716CE" w:rsidRDefault="00CD0FB3" w:rsidP="00CD0FB3">
      <w:pPr>
        <w:pStyle w:val="PBodytext"/>
        <w:rPr>
          <w:b/>
          <w:bCs/>
        </w:rPr>
      </w:pPr>
      <w:bookmarkStart w:id="86" w:name="_Toc211632720"/>
      <w:r>
        <w:rPr>
          <w:b/>
          <w:bCs/>
        </w:rPr>
        <w:t xml:space="preserve">4.3.5 </w:t>
      </w:r>
      <w:r w:rsidR="00D716CE" w:rsidRPr="00CD0FB3">
        <w:rPr>
          <w:b/>
          <w:bCs/>
        </w:rPr>
        <w:t>Deliverables</w:t>
      </w:r>
      <w:bookmarkEnd w:id="86"/>
    </w:p>
    <w:p w14:paraId="0278C2C8" w14:textId="0B6BACDE" w:rsidR="002A4487" w:rsidRDefault="002A4487" w:rsidP="002A4487">
      <w:pPr>
        <w:pStyle w:val="Caption"/>
      </w:pPr>
      <w:bookmarkStart w:id="87" w:name="_Toc212409116"/>
      <w:r>
        <w:t xml:space="preserve">Table </w:t>
      </w:r>
      <w:fldSimple w:instr=" SEQ Table \* ARABIC ">
        <w:r w:rsidR="00324369">
          <w:rPr>
            <w:noProof/>
          </w:rPr>
          <w:t>2</w:t>
        </w:r>
      </w:fldSimple>
      <w:r>
        <w:t>. Deliverables</w:t>
      </w:r>
      <w:bookmarkEnd w:id="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2425"/>
        <w:gridCol w:w="3808"/>
        <w:gridCol w:w="3117"/>
      </w:tblGrid>
      <w:tr w:rsidR="00E77B7D" w14:paraId="12FF6ED3" w14:textId="77777777" w:rsidTr="004571DD">
        <w:tc>
          <w:tcPr>
            <w:tcW w:w="2425" w:type="dxa"/>
            <w:shd w:val="clear" w:color="auto" w:fill="C5E9FE" w:themeFill="accent3" w:themeFillTint="33"/>
          </w:tcPr>
          <w:p w14:paraId="3548AE87" w14:textId="77777777" w:rsidR="00E77B7D" w:rsidRPr="004571DD" w:rsidRDefault="00E77B7D" w:rsidP="004571DD">
            <w:pPr>
              <w:pStyle w:val="PTablebodytext"/>
              <w:rPr>
                <w:b/>
                <w:bCs/>
              </w:rPr>
            </w:pPr>
            <w:r w:rsidRPr="004571DD">
              <w:rPr>
                <w:b/>
                <w:bCs/>
              </w:rPr>
              <w:t>Deliverable Category</w:t>
            </w:r>
          </w:p>
        </w:tc>
        <w:tc>
          <w:tcPr>
            <w:tcW w:w="3808" w:type="dxa"/>
            <w:shd w:val="clear" w:color="auto" w:fill="C5E9FE" w:themeFill="accent3" w:themeFillTint="33"/>
          </w:tcPr>
          <w:p w14:paraId="405C4D48" w14:textId="77777777" w:rsidR="00E77B7D" w:rsidRPr="004571DD" w:rsidRDefault="00E77B7D" w:rsidP="004571DD">
            <w:pPr>
              <w:pStyle w:val="PTablebodytext"/>
              <w:rPr>
                <w:b/>
                <w:bCs/>
              </w:rPr>
            </w:pPr>
            <w:r w:rsidRPr="004571DD">
              <w:rPr>
                <w:b/>
                <w:bCs/>
              </w:rPr>
              <w:t>Description</w:t>
            </w:r>
          </w:p>
        </w:tc>
        <w:tc>
          <w:tcPr>
            <w:tcW w:w="3117" w:type="dxa"/>
            <w:shd w:val="clear" w:color="auto" w:fill="C5E9FE" w:themeFill="accent3" w:themeFillTint="33"/>
          </w:tcPr>
          <w:p w14:paraId="300D8DA3" w14:textId="77777777" w:rsidR="00E77B7D" w:rsidRPr="004571DD" w:rsidRDefault="00E77B7D" w:rsidP="004571DD">
            <w:pPr>
              <w:pStyle w:val="PTablebodytext"/>
              <w:rPr>
                <w:b/>
                <w:bCs/>
              </w:rPr>
            </w:pPr>
            <w:r w:rsidRPr="004571DD">
              <w:rPr>
                <w:b/>
                <w:bCs/>
              </w:rPr>
              <w:t>Value/Outcome</w:t>
            </w:r>
          </w:p>
        </w:tc>
      </w:tr>
      <w:tr w:rsidR="00E77B7D" w14:paraId="53B2DD21" w14:textId="77777777" w:rsidTr="004571DD">
        <w:tc>
          <w:tcPr>
            <w:tcW w:w="2425" w:type="dxa"/>
          </w:tcPr>
          <w:p w14:paraId="6C4B4880" w14:textId="77777777" w:rsidR="00E77B7D" w:rsidRPr="004571DD" w:rsidRDefault="00E77B7D" w:rsidP="004571DD">
            <w:pPr>
              <w:pStyle w:val="PTablebodytext"/>
              <w:rPr>
                <w:b/>
                <w:bCs/>
              </w:rPr>
            </w:pPr>
            <w:r w:rsidRPr="004571DD">
              <w:rPr>
                <w:b/>
                <w:bCs/>
              </w:rPr>
              <w:t>QA Planning Artifacts</w:t>
            </w:r>
          </w:p>
        </w:tc>
        <w:tc>
          <w:tcPr>
            <w:tcW w:w="3808" w:type="dxa"/>
          </w:tcPr>
          <w:p w14:paraId="1F294B04" w14:textId="77777777" w:rsidR="00E77B7D" w:rsidRDefault="00E77B7D" w:rsidP="004571DD">
            <w:pPr>
              <w:pStyle w:val="PTablebodytext"/>
            </w:pPr>
            <w:r>
              <w:t>Test Plans, Test Design Documents, and Requirements Traceability Matrices (RTMs) defining coverage scope and acceptance criteria.</w:t>
            </w:r>
          </w:p>
        </w:tc>
        <w:tc>
          <w:tcPr>
            <w:tcW w:w="3117" w:type="dxa"/>
          </w:tcPr>
          <w:p w14:paraId="0E2F9D51" w14:textId="77777777" w:rsidR="00E77B7D" w:rsidRDefault="00E77B7D" w:rsidP="004571DD">
            <w:pPr>
              <w:pStyle w:val="PTablebodytext"/>
            </w:pPr>
            <w:r>
              <w:t>Establishes structured and transparent QA baselines aligned with RFP Section 5.</w:t>
            </w:r>
          </w:p>
        </w:tc>
      </w:tr>
      <w:tr w:rsidR="00E77B7D" w14:paraId="1093EAA3" w14:textId="77777777" w:rsidTr="004571DD">
        <w:tc>
          <w:tcPr>
            <w:tcW w:w="2425" w:type="dxa"/>
          </w:tcPr>
          <w:p w14:paraId="0FDA1761" w14:textId="77777777" w:rsidR="00E77B7D" w:rsidRPr="004571DD" w:rsidRDefault="00E77B7D" w:rsidP="004571DD">
            <w:pPr>
              <w:pStyle w:val="PTablebodytext"/>
              <w:rPr>
                <w:b/>
                <w:bCs/>
              </w:rPr>
            </w:pPr>
            <w:r w:rsidRPr="004571DD">
              <w:rPr>
                <w:b/>
                <w:bCs/>
              </w:rPr>
              <w:t>Automation Assets</w:t>
            </w:r>
          </w:p>
        </w:tc>
        <w:tc>
          <w:tcPr>
            <w:tcW w:w="3808" w:type="dxa"/>
          </w:tcPr>
          <w:p w14:paraId="3CBF964A" w14:textId="77777777" w:rsidR="00E77B7D" w:rsidRDefault="00E77B7D" w:rsidP="004571DD">
            <w:pPr>
              <w:pStyle w:val="PTablebodytext"/>
            </w:pPr>
            <w:r>
              <w:t>End-to-end automation suites integrated with CI/CD pipelines, supported by execution dashboards and reusability reports.</w:t>
            </w:r>
          </w:p>
        </w:tc>
        <w:tc>
          <w:tcPr>
            <w:tcW w:w="3117" w:type="dxa"/>
          </w:tcPr>
          <w:p w14:paraId="1CF57B9D" w14:textId="77777777" w:rsidR="00E77B7D" w:rsidRDefault="00E77B7D" w:rsidP="004571DD">
            <w:pPr>
              <w:pStyle w:val="PTablebodytext"/>
            </w:pPr>
            <w:r>
              <w:t>Reduces regression time by 35–40%, enhancing test predictability.</w:t>
            </w:r>
          </w:p>
        </w:tc>
      </w:tr>
      <w:tr w:rsidR="00E77B7D" w14:paraId="4956462F" w14:textId="77777777" w:rsidTr="004571DD">
        <w:tc>
          <w:tcPr>
            <w:tcW w:w="2425" w:type="dxa"/>
          </w:tcPr>
          <w:p w14:paraId="159D3653" w14:textId="77777777" w:rsidR="00E77B7D" w:rsidRPr="004571DD" w:rsidRDefault="00E77B7D" w:rsidP="004571DD">
            <w:pPr>
              <w:pStyle w:val="PTablebodytext"/>
              <w:rPr>
                <w:b/>
                <w:bCs/>
              </w:rPr>
            </w:pPr>
            <w:r w:rsidRPr="004571DD">
              <w:rPr>
                <w:b/>
                <w:bCs/>
              </w:rPr>
              <w:t>Defect and Quality Metrics</w:t>
            </w:r>
          </w:p>
        </w:tc>
        <w:tc>
          <w:tcPr>
            <w:tcW w:w="3808" w:type="dxa"/>
          </w:tcPr>
          <w:p w14:paraId="4B39D017" w14:textId="77777777" w:rsidR="00E77B7D" w:rsidRDefault="00E77B7D" w:rsidP="004571DD">
            <w:pPr>
              <w:pStyle w:val="PTablebodytext"/>
            </w:pPr>
            <w:r>
              <w:t>Consolidated defect logs, triage summaries, and trend analytics visualized through Power BI dashboards.</w:t>
            </w:r>
          </w:p>
        </w:tc>
        <w:tc>
          <w:tcPr>
            <w:tcW w:w="3117" w:type="dxa"/>
          </w:tcPr>
          <w:p w14:paraId="03F0D634" w14:textId="77777777" w:rsidR="00E77B7D" w:rsidRDefault="00E77B7D" w:rsidP="004571DD">
            <w:pPr>
              <w:pStyle w:val="PTablebodytext"/>
            </w:pPr>
            <w:r>
              <w:t>Enables data-driven decision-making and proactive risk mitigation.</w:t>
            </w:r>
          </w:p>
        </w:tc>
      </w:tr>
      <w:tr w:rsidR="00E77B7D" w14:paraId="21139EC8" w14:textId="77777777" w:rsidTr="004571DD">
        <w:tc>
          <w:tcPr>
            <w:tcW w:w="2425" w:type="dxa"/>
          </w:tcPr>
          <w:p w14:paraId="0DCF42E2" w14:textId="77777777" w:rsidR="00E77B7D" w:rsidRPr="004571DD" w:rsidRDefault="00E77B7D" w:rsidP="004571DD">
            <w:pPr>
              <w:pStyle w:val="PTablebodytext"/>
              <w:rPr>
                <w:b/>
                <w:bCs/>
              </w:rPr>
            </w:pPr>
            <w:r w:rsidRPr="004571DD">
              <w:rPr>
                <w:b/>
                <w:bCs/>
              </w:rPr>
              <w:t>Performance &amp; Security Reports</w:t>
            </w:r>
          </w:p>
        </w:tc>
        <w:tc>
          <w:tcPr>
            <w:tcW w:w="3808" w:type="dxa"/>
          </w:tcPr>
          <w:p w14:paraId="6345885B" w14:textId="77777777" w:rsidR="00E77B7D" w:rsidRDefault="00E77B7D" w:rsidP="004571DD">
            <w:pPr>
              <w:pStyle w:val="PTablebodytext"/>
            </w:pPr>
            <w:r>
              <w:t>Load, stress, and endurance test results benchmarked against SLA thresholds; security vulnerability and compliance assessment summaries.</w:t>
            </w:r>
          </w:p>
        </w:tc>
        <w:tc>
          <w:tcPr>
            <w:tcW w:w="3117" w:type="dxa"/>
          </w:tcPr>
          <w:p w14:paraId="7D8CE3FF" w14:textId="77777777" w:rsidR="00E77B7D" w:rsidRDefault="00E77B7D" w:rsidP="004571DD">
            <w:pPr>
              <w:pStyle w:val="PTablebodytext"/>
            </w:pPr>
            <w:r>
              <w:t>Ensures system readiness, reliability, and adherence to OWASP and State IT standards.</w:t>
            </w:r>
          </w:p>
        </w:tc>
      </w:tr>
      <w:tr w:rsidR="00E77B7D" w14:paraId="2D064377" w14:textId="77777777" w:rsidTr="004571DD">
        <w:tc>
          <w:tcPr>
            <w:tcW w:w="2425" w:type="dxa"/>
          </w:tcPr>
          <w:p w14:paraId="08BF1CED" w14:textId="77777777" w:rsidR="00E77B7D" w:rsidRPr="004571DD" w:rsidRDefault="00E77B7D" w:rsidP="004571DD">
            <w:pPr>
              <w:pStyle w:val="PTablebodytext"/>
              <w:rPr>
                <w:b/>
                <w:bCs/>
              </w:rPr>
            </w:pPr>
            <w:r w:rsidRPr="004571DD">
              <w:rPr>
                <w:b/>
                <w:bCs/>
              </w:rPr>
              <w:t>Governance &amp; Compliance Reports</w:t>
            </w:r>
          </w:p>
        </w:tc>
        <w:tc>
          <w:tcPr>
            <w:tcW w:w="3808" w:type="dxa"/>
          </w:tcPr>
          <w:p w14:paraId="26C56167" w14:textId="77777777" w:rsidR="00E77B7D" w:rsidRDefault="00E77B7D" w:rsidP="004571DD">
            <w:pPr>
              <w:pStyle w:val="PTablebodytext"/>
            </w:pPr>
            <w:r>
              <w:t>Monthly QA summary reports, KPI scorecards, and Executive Dashboards for CalSAWS Steering Committee reviews.</w:t>
            </w:r>
          </w:p>
        </w:tc>
        <w:tc>
          <w:tcPr>
            <w:tcW w:w="3117" w:type="dxa"/>
          </w:tcPr>
          <w:p w14:paraId="7D3673D2" w14:textId="77777777" w:rsidR="00E77B7D" w:rsidRDefault="00E77B7D" w:rsidP="004571DD">
            <w:pPr>
              <w:pStyle w:val="PTablebodytext"/>
            </w:pPr>
            <w:r>
              <w:t>Provides continuous visibility into QA health, compliance, and improvement actions.</w:t>
            </w:r>
          </w:p>
        </w:tc>
      </w:tr>
    </w:tbl>
    <w:p w14:paraId="1952EB07" w14:textId="7C9B7F23" w:rsidR="0057556D" w:rsidRPr="00C70DD6" w:rsidRDefault="0057556D" w:rsidP="00C22EE1">
      <w:pPr>
        <w:pStyle w:val="PSubheading3"/>
      </w:pPr>
      <w:bookmarkStart w:id="88" w:name="_Toc211632721"/>
      <w:bookmarkStart w:id="89" w:name="_Toc212236348"/>
      <w:r w:rsidRPr="00C70DD6">
        <w:t>Maintenance &amp; Operations</w:t>
      </w:r>
      <w:bookmarkEnd w:id="82"/>
      <w:bookmarkEnd w:id="88"/>
      <w:bookmarkEnd w:id="89"/>
    </w:p>
    <w:p w14:paraId="491CC20F" w14:textId="38C0E0F8" w:rsidR="00582A60" w:rsidRPr="00AF370A" w:rsidRDefault="00565A9A" w:rsidP="00AF370A">
      <w:pPr>
        <w:pStyle w:val="PBodytext"/>
        <w:rPr>
          <w:b/>
          <w:bCs/>
        </w:rPr>
      </w:pPr>
      <w:bookmarkStart w:id="90" w:name="_Toc211632722"/>
      <w:r>
        <w:rPr>
          <w:b/>
          <w:bCs/>
        </w:rPr>
        <w:t xml:space="preserve">4.4.1 </w:t>
      </w:r>
      <w:r w:rsidR="00582A60" w:rsidRPr="00AF370A">
        <w:rPr>
          <w:b/>
          <w:bCs/>
        </w:rPr>
        <w:t>Objectives</w:t>
      </w:r>
      <w:bookmarkEnd w:id="90"/>
    </w:p>
    <w:p w14:paraId="707F7ACE" w14:textId="77777777" w:rsidR="006140B3" w:rsidRDefault="00582A60" w:rsidP="00AF370A">
      <w:pPr>
        <w:pStyle w:val="PBodytext"/>
      </w:pPr>
      <w:r w:rsidRPr="00F73E66">
        <w:t>Following system implementation, Quadrant’s M&amp;O team ensures continuous quality oversight through post-production support, regression testing, and SLA management.</w:t>
      </w:r>
    </w:p>
    <w:p w14:paraId="6F4DA186" w14:textId="63DEAC29" w:rsidR="00582A60" w:rsidRPr="00F73E66" w:rsidRDefault="00582A60" w:rsidP="00AF370A">
      <w:pPr>
        <w:pStyle w:val="PBodytext"/>
      </w:pPr>
      <w:r w:rsidRPr="00F73E66">
        <w:t>Objectives include:</w:t>
      </w:r>
    </w:p>
    <w:p w14:paraId="103A76FC" w14:textId="77777777" w:rsidR="00582A60" w:rsidRPr="00F73E66" w:rsidRDefault="00582A60" w:rsidP="00565A9A">
      <w:pPr>
        <w:pStyle w:val="PBulletlevel1"/>
      </w:pPr>
      <w:r w:rsidRPr="00F73E66">
        <w:t>Ensuring system stability and user satisfaction.</w:t>
      </w:r>
    </w:p>
    <w:p w14:paraId="2DF36B34" w14:textId="77777777" w:rsidR="00582A60" w:rsidRPr="00F73E66" w:rsidRDefault="00582A60" w:rsidP="00565A9A">
      <w:pPr>
        <w:pStyle w:val="PBulletlevel1"/>
      </w:pPr>
      <w:r w:rsidRPr="00F73E66">
        <w:t>Supporting change requests and enhancements.</w:t>
      </w:r>
    </w:p>
    <w:p w14:paraId="6E647292" w14:textId="77777777" w:rsidR="00582A60" w:rsidRPr="00F73E66" w:rsidRDefault="00582A60" w:rsidP="00565A9A">
      <w:pPr>
        <w:pStyle w:val="PBulletlevel1"/>
      </w:pPr>
      <w:r w:rsidRPr="00F73E66">
        <w:t>Monitoring defect re-occurrence and preventive actions.</w:t>
      </w:r>
    </w:p>
    <w:p w14:paraId="1E8C2C39" w14:textId="77777777" w:rsidR="00582A60" w:rsidRPr="00F73E66" w:rsidRDefault="00582A60" w:rsidP="00565A9A">
      <w:pPr>
        <w:pStyle w:val="PBulletlevel1"/>
      </w:pPr>
      <w:r w:rsidRPr="00F73E66">
        <w:t>Updating test automation for new releases.</w:t>
      </w:r>
    </w:p>
    <w:p w14:paraId="028950D1" w14:textId="30B3B313" w:rsidR="00582A60" w:rsidRPr="00565A9A" w:rsidRDefault="00565A9A" w:rsidP="00565A9A">
      <w:pPr>
        <w:pStyle w:val="PBodytext"/>
        <w:rPr>
          <w:b/>
          <w:bCs/>
        </w:rPr>
      </w:pPr>
      <w:bookmarkStart w:id="91" w:name="_Toc211632723"/>
      <w:r>
        <w:rPr>
          <w:b/>
          <w:bCs/>
        </w:rPr>
        <w:t xml:space="preserve">4.4.2 </w:t>
      </w:r>
      <w:r w:rsidR="00582A60" w:rsidRPr="00565A9A">
        <w:rPr>
          <w:b/>
          <w:bCs/>
        </w:rPr>
        <w:t>Staffing Composition</w:t>
      </w:r>
      <w:bookmarkEnd w:id="91"/>
    </w:p>
    <w:p w14:paraId="68EE07B0" w14:textId="77777777" w:rsidR="00582A60" w:rsidRPr="00F73E66" w:rsidRDefault="00582A60" w:rsidP="00565A9A">
      <w:pPr>
        <w:pStyle w:val="PBodytext"/>
      </w:pPr>
      <w:r w:rsidRPr="00F73E66">
        <w:lastRenderedPageBreak/>
        <w:t>The M&amp;O team comprises Leadership and Support (5-6 onshore), Technical Support (10-11 hybrid), and Training (1-2 resources). Dedicated automation and data validation staff maintain regression suites and data quality scripts.</w:t>
      </w:r>
    </w:p>
    <w:p w14:paraId="0EA9D9C3" w14:textId="3BE3458A" w:rsidR="00582A60" w:rsidRPr="00565A9A" w:rsidRDefault="00565A9A" w:rsidP="00E12242">
      <w:pPr>
        <w:pStyle w:val="PBodytext"/>
        <w:keepNext/>
        <w:keepLines/>
        <w:rPr>
          <w:b/>
          <w:bCs/>
        </w:rPr>
      </w:pPr>
      <w:bookmarkStart w:id="92" w:name="_Toc211632724"/>
      <w:r>
        <w:rPr>
          <w:b/>
          <w:bCs/>
        </w:rPr>
        <w:t xml:space="preserve">4.4.3 </w:t>
      </w:r>
      <w:r w:rsidR="00582A60" w:rsidRPr="00565A9A">
        <w:rPr>
          <w:b/>
          <w:bCs/>
        </w:rPr>
        <w:t>Continuous Improvement</w:t>
      </w:r>
      <w:bookmarkEnd w:id="92"/>
    </w:p>
    <w:p w14:paraId="035641CE" w14:textId="74042390" w:rsidR="00582A60" w:rsidRPr="00F73E66" w:rsidRDefault="00582A60" w:rsidP="00E12242">
      <w:pPr>
        <w:pStyle w:val="PBodytext"/>
        <w:keepNext/>
        <w:keepLines/>
      </w:pPr>
      <w:r w:rsidRPr="00F73E66">
        <w:t xml:space="preserve">Quadrant </w:t>
      </w:r>
      <w:r w:rsidR="00376C96">
        <w:t>framework’</w:t>
      </w:r>
      <w:r w:rsidRPr="00F73E66">
        <w:t xml:space="preserve"> Continuous Service Improvement model where QA metrics from production incidents feedback into test design. Lessons learned are documented and incorporated into subsequent release planning.</w:t>
      </w:r>
      <w:r w:rsidR="00376C96">
        <w:t xml:space="preserve"> </w:t>
      </w:r>
      <w:r w:rsidR="00376C96" w:rsidRPr="00376C96">
        <w:t>Additionally, predictive quality insights from production data are fed into AI dashboards to forecast defect trends and prioritize preventive measures.</w:t>
      </w:r>
    </w:p>
    <w:p w14:paraId="7C4161EF" w14:textId="77777777" w:rsidR="006140B3" w:rsidRDefault="00582A60" w:rsidP="00565A9A">
      <w:pPr>
        <w:pStyle w:val="PBodytext"/>
      </w:pPr>
      <w:r w:rsidRPr="00F73E66">
        <w:t xml:space="preserve">Quadrant Technologies deploys </w:t>
      </w:r>
      <w:r w:rsidRPr="005F7130">
        <w:t>a multi-disciplinary QA organization</w:t>
      </w:r>
      <w:r w:rsidRPr="00F73E66">
        <w:t xml:space="preserve"> that combines domain expertise, technical excellence, and operational flexibility.</w:t>
      </w:r>
    </w:p>
    <w:p w14:paraId="1F2740B3" w14:textId="64FF1B56" w:rsidR="00582A60" w:rsidRPr="00F73E66" w:rsidRDefault="00582A60" w:rsidP="00565A9A">
      <w:pPr>
        <w:pStyle w:val="PBodytext"/>
      </w:pPr>
      <w:r w:rsidRPr="00F73E66">
        <w:t xml:space="preserve">The team design reflects the </w:t>
      </w:r>
      <w:r w:rsidRPr="005F7130">
        <w:t>CalSAWS multi-vendor delivery ecosystem</w:t>
      </w:r>
      <w:r w:rsidRPr="00F73E66">
        <w:t>, ensuring that every critical function</w:t>
      </w:r>
      <w:r w:rsidR="003A3620">
        <w:t xml:space="preserve">; </w:t>
      </w:r>
      <w:r w:rsidRPr="00F73E66">
        <w:t>governance, quality, and technical validation</w:t>
      </w:r>
      <w:r w:rsidR="003A3620">
        <w:t xml:space="preserve"> </w:t>
      </w:r>
      <w:r w:rsidRPr="00F73E66">
        <w:t>is owned, measured, and continuously improved.</w:t>
      </w:r>
    </w:p>
    <w:p w14:paraId="1F87C846" w14:textId="77777777" w:rsidR="006140B3" w:rsidRDefault="00582A60" w:rsidP="00565A9A">
      <w:pPr>
        <w:pStyle w:val="PBodytext"/>
      </w:pPr>
      <w:r w:rsidRPr="00F73E66">
        <w:t>Each team is organized into vertical delivery units aligned with CalSAWS workstreams and horizontal competency centers (automation, performance, and DevOps QA).</w:t>
      </w:r>
    </w:p>
    <w:p w14:paraId="1D0F2B4F" w14:textId="6CA56104" w:rsidR="0057556D" w:rsidRDefault="00582A60" w:rsidP="00565A9A">
      <w:pPr>
        <w:pStyle w:val="PBodytext"/>
      </w:pPr>
      <w:r w:rsidRPr="00F73E66">
        <w:t>This dual-axis structure maximizes accountability while promoting knowledge sharing and process standardization.</w:t>
      </w:r>
    </w:p>
    <w:p w14:paraId="69FD3F47" w14:textId="647EB8BF" w:rsidR="0057556D" w:rsidRDefault="0057556D" w:rsidP="001B79FD">
      <w:pPr>
        <w:pStyle w:val="PSubheading2"/>
        <w:numPr>
          <w:ilvl w:val="0"/>
          <w:numId w:val="11"/>
        </w:numPr>
        <w:ind w:left="360"/>
      </w:pPr>
      <w:bookmarkStart w:id="93" w:name="_Toc209082414"/>
      <w:bookmarkStart w:id="94" w:name="_Toc211632725"/>
      <w:bookmarkStart w:id="95" w:name="_Toc212236349"/>
      <w:bookmarkStart w:id="96" w:name="_Toc212369223"/>
      <w:bookmarkStart w:id="97" w:name="_Toc212369294"/>
      <w:r>
        <w:t>Team Structure</w:t>
      </w:r>
      <w:bookmarkEnd w:id="93"/>
      <w:bookmarkEnd w:id="94"/>
      <w:bookmarkEnd w:id="95"/>
      <w:bookmarkEnd w:id="96"/>
      <w:bookmarkEnd w:id="97"/>
    </w:p>
    <w:p w14:paraId="619FB659" w14:textId="6F117815" w:rsidR="003D708B" w:rsidRPr="00E13F7A" w:rsidRDefault="007677B6" w:rsidP="00C22EE1">
      <w:pPr>
        <w:pStyle w:val="PSubheading3"/>
      </w:pPr>
      <w:bookmarkStart w:id="98" w:name="_Toc211632726"/>
      <w:bookmarkStart w:id="99" w:name="_Toc212236350"/>
      <w:r w:rsidRPr="00E13F7A">
        <w:t>Overview</w:t>
      </w:r>
      <w:bookmarkStart w:id="100" w:name="_Toc209082416"/>
      <w:bookmarkEnd w:id="98"/>
      <w:bookmarkEnd w:id="99"/>
    </w:p>
    <w:p w14:paraId="6B64EEF9" w14:textId="77777777" w:rsidR="009B62BB" w:rsidRDefault="003D708B" w:rsidP="00565A9A">
      <w:pPr>
        <w:pStyle w:val="PBodytext"/>
      </w:pPr>
      <w:r w:rsidRPr="009A7B24">
        <w:t xml:space="preserve">Quadrant Technologies deploys a </w:t>
      </w:r>
      <w:r w:rsidRPr="003D708B">
        <w:t>multi-disciplinary QA organization</w:t>
      </w:r>
      <w:r w:rsidRPr="009A7B24">
        <w:t xml:space="preserve"> that combines domain expertise, technical excellence, and operational flexibility.</w:t>
      </w:r>
    </w:p>
    <w:p w14:paraId="47236061" w14:textId="5926CD89" w:rsidR="003D708B" w:rsidRPr="009A7B24" w:rsidRDefault="003D708B" w:rsidP="00565A9A">
      <w:pPr>
        <w:pStyle w:val="PBodytext"/>
      </w:pPr>
      <w:r w:rsidRPr="009A7B24">
        <w:t xml:space="preserve">The team design reflects the </w:t>
      </w:r>
      <w:r w:rsidRPr="003D708B">
        <w:t>CalSAWS multi-vendor delivery ecosystem</w:t>
      </w:r>
      <w:r w:rsidRPr="009A7B24">
        <w:t>, ensuring that every critical function</w:t>
      </w:r>
      <w:r w:rsidR="007D127E">
        <w:t xml:space="preserve">: </w:t>
      </w:r>
      <w:r w:rsidRPr="009A7B24">
        <w:t>governance, quality, and technical validation</w:t>
      </w:r>
      <w:r w:rsidR="007D127E">
        <w:t xml:space="preserve"> </w:t>
      </w:r>
      <w:r w:rsidRPr="009A7B24">
        <w:t>is owned, measured, and continuously improved.</w:t>
      </w:r>
    </w:p>
    <w:p w14:paraId="0BE1E6AE" w14:textId="77777777" w:rsidR="009B62BB" w:rsidRDefault="003D708B" w:rsidP="00565A9A">
      <w:pPr>
        <w:pStyle w:val="PBodytext"/>
      </w:pPr>
      <w:r w:rsidRPr="009A7B24">
        <w:t>Each team is organized into vertical delivery units aligned with CalSAWS workstreams and horizontal competency centers (automation, performance, and DevOps QA).</w:t>
      </w:r>
    </w:p>
    <w:p w14:paraId="3335403B" w14:textId="4CA34BC8" w:rsidR="003D708B" w:rsidRPr="009A7B24" w:rsidRDefault="003D708B" w:rsidP="00565A9A">
      <w:pPr>
        <w:pStyle w:val="PBodytext"/>
      </w:pPr>
      <w:r w:rsidRPr="009A7B24">
        <w:t>This dual-axis structure maximizes accountability while promoting knowledge sharing and process standardization.</w:t>
      </w:r>
      <w:r w:rsidR="00394C81">
        <w:t xml:space="preserve"> </w:t>
      </w:r>
      <w:r w:rsidR="00394C81" w:rsidRPr="00394C81">
        <w:t xml:space="preserve">This structure is further enhanced through Quadrant’s </w:t>
      </w:r>
      <w:r w:rsidR="00394C81" w:rsidRPr="00394C81">
        <w:rPr>
          <w:b/>
          <w:bCs/>
        </w:rPr>
        <w:t>Integrated Delivery Governance Model (IDGM)</w:t>
      </w:r>
      <w:r w:rsidR="00394C81">
        <w:t xml:space="preserve">, </w:t>
      </w:r>
      <w:r w:rsidR="00394C81" w:rsidRPr="00394C81">
        <w:t>a collaborative framework that connects QA leadership, CalSAWS program governance, and vendor delivery teams through shared dashboards, automation telemetry, and continuous improvement loops. This ensures visibility, alignment, and proactive course correction across all program layers</w:t>
      </w:r>
      <w:r w:rsidR="00394C81">
        <w:t>.</w:t>
      </w:r>
    </w:p>
    <w:p w14:paraId="6D7835D8" w14:textId="41D4223F" w:rsidR="0057556D" w:rsidRPr="00565A9A" w:rsidRDefault="008A139D" w:rsidP="00C22EE1">
      <w:pPr>
        <w:pStyle w:val="PSubheading3"/>
      </w:pPr>
      <w:bookmarkStart w:id="101" w:name="_Toc211632727"/>
      <w:bookmarkStart w:id="102" w:name="_Toc212236351"/>
      <w:bookmarkEnd w:id="100"/>
      <w:r w:rsidRPr="00565A9A">
        <w:t>Implementation Phase Teams</w:t>
      </w:r>
      <w:bookmarkEnd w:id="101"/>
      <w:bookmarkEnd w:id="102"/>
    </w:p>
    <w:p w14:paraId="06C2F6D8" w14:textId="77777777" w:rsidR="008014E8" w:rsidRDefault="008014E8" w:rsidP="00565A9A">
      <w:pPr>
        <w:pStyle w:val="PBodytext"/>
      </w:pPr>
      <w:r w:rsidRPr="009A7B24">
        <w:t>During Implementation, Quadrant fields a comprehensive set of QA teams to cover all aspects of solution delivery.</w:t>
      </w:r>
    </w:p>
    <w:p w14:paraId="49678111" w14:textId="28F62A56" w:rsidR="008014E8" w:rsidRPr="009A7B24" w:rsidRDefault="008014E8" w:rsidP="008014E8">
      <w:pPr>
        <w:pStyle w:val="PBodytext"/>
      </w:pPr>
      <w:r w:rsidRPr="009A7B24">
        <w:t>Each team operates under an agile framework with defined sprint cadences and measurable deliverables.</w:t>
      </w:r>
    </w:p>
    <w:p w14:paraId="09B9E3F7" w14:textId="24B19EE6" w:rsidR="001D3DE5" w:rsidRPr="001D3DE5" w:rsidRDefault="001D3DE5" w:rsidP="00A17036">
      <w:pPr>
        <w:pStyle w:val="Caption"/>
      </w:pPr>
      <w:bookmarkStart w:id="103" w:name="_Toc212409117"/>
      <w:r w:rsidRPr="0004142E">
        <w:lastRenderedPageBreak/>
        <w:t xml:space="preserve">Table </w:t>
      </w:r>
      <w:r>
        <w:fldChar w:fldCharType="begin"/>
      </w:r>
      <w:r>
        <w:instrText>SEQ Table \* ARABIC</w:instrText>
      </w:r>
      <w:r>
        <w:fldChar w:fldCharType="separate"/>
      </w:r>
      <w:r w:rsidR="00324369">
        <w:rPr>
          <w:noProof/>
        </w:rPr>
        <w:t>3</w:t>
      </w:r>
      <w:r>
        <w:fldChar w:fldCharType="end"/>
      </w:r>
      <w:r w:rsidRPr="0004142E">
        <w:t xml:space="preserve">. </w:t>
      </w:r>
      <w:r w:rsidR="00FE2F1A">
        <w:t>Imp</w:t>
      </w:r>
      <w:r w:rsidR="00A96513">
        <w:t xml:space="preserve">lementation </w:t>
      </w:r>
      <w:r w:rsidR="0004142E" w:rsidRPr="0004142E">
        <w:t>Team</w:t>
      </w:r>
      <w:r w:rsidR="0004142E">
        <w:t xml:space="preserve"> </w:t>
      </w:r>
      <w:r w:rsidR="00A96513">
        <w:t>Structure</w:t>
      </w:r>
      <w:bookmarkEnd w:id="103"/>
    </w:p>
    <w:tbl>
      <w:tblPr>
        <w:tblStyle w:val="PlainTable1"/>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72" w:type="dxa"/>
          <w:left w:w="72" w:type="dxa"/>
          <w:bottom w:w="72" w:type="dxa"/>
          <w:right w:w="72" w:type="dxa"/>
        </w:tblCellMar>
        <w:tblLook w:val="0420" w:firstRow="1" w:lastRow="0" w:firstColumn="0" w:lastColumn="0" w:noHBand="0" w:noVBand="1"/>
      </w:tblPr>
      <w:tblGrid>
        <w:gridCol w:w="2155"/>
        <w:gridCol w:w="4978"/>
        <w:gridCol w:w="2217"/>
      </w:tblGrid>
      <w:tr w:rsidR="00FB7637" w:rsidRPr="00A917BA" w14:paraId="2AD10A16" w14:textId="77777777" w:rsidTr="00A17036">
        <w:trPr>
          <w:cnfStyle w:val="100000000000" w:firstRow="1" w:lastRow="0" w:firstColumn="0" w:lastColumn="0" w:oddVBand="0" w:evenVBand="0" w:oddHBand="0" w:evenHBand="0" w:firstRowFirstColumn="0" w:firstRowLastColumn="0" w:lastRowFirstColumn="0" w:lastRowLastColumn="0"/>
          <w:trHeight w:val="320"/>
        </w:trPr>
        <w:tc>
          <w:tcPr>
            <w:tcW w:w="2065" w:type="dxa"/>
            <w:shd w:val="clear" w:color="auto" w:fill="C5E9FE" w:themeFill="accent3" w:themeFillTint="33"/>
          </w:tcPr>
          <w:p w14:paraId="424D2DD4" w14:textId="77777777" w:rsidR="00FB7637" w:rsidRPr="00137109" w:rsidRDefault="00FB7637" w:rsidP="00A17036">
            <w:pPr>
              <w:pStyle w:val="PTableheaderblack"/>
              <w:keepNext/>
              <w:keepLines/>
              <w:rPr>
                <w:b/>
                <w:bCs w:val="0"/>
              </w:rPr>
            </w:pPr>
            <w:r w:rsidRPr="00137109">
              <w:rPr>
                <w:b/>
                <w:bCs w:val="0"/>
              </w:rPr>
              <w:t>Team</w:t>
            </w:r>
          </w:p>
        </w:tc>
        <w:tc>
          <w:tcPr>
            <w:tcW w:w="4770" w:type="dxa"/>
            <w:shd w:val="clear" w:color="auto" w:fill="C5E9FE" w:themeFill="accent3" w:themeFillTint="33"/>
          </w:tcPr>
          <w:p w14:paraId="25E40066" w14:textId="7EFA268C" w:rsidR="00FB7637" w:rsidRPr="00137109" w:rsidRDefault="00FB7637" w:rsidP="00A17036">
            <w:pPr>
              <w:pStyle w:val="PTableheaderblack"/>
              <w:keepNext/>
              <w:keepLines/>
              <w:rPr>
                <w:b/>
                <w:bCs w:val="0"/>
              </w:rPr>
            </w:pPr>
            <w:r w:rsidRPr="00137109">
              <w:rPr>
                <w:b/>
                <w:bCs w:val="0"/>
              </w:rPr>
              <w:t>Primary Purpose</w:t>
            </w:r>
          </w:p>
        </w:tc>
        <w:tc>
          <w:tcPr>
            <w:tcW w:w="2124" w:type="dxa"/>
            <w:shd w:val="clear" w:color="auto" w:fill="C5E9FE" w:themeFill="accent3" w:themeFillTint="33"/>
          </w:tcPr>
          <w:p w14:paraId="2CAAAD8F" w14:textId="6F716B58" w:rsidR="00FB7637" w:rsidRPr="00137109" w:rsidRDefault="00FB7637" w:rsidP="00A17036">
            <w:pPr>
              <w:pStyle w:val="PTableheaderblack"/>
              <w:keepNext/>
              <w:keepLines/>
              <w:rPr>
                <w:b/>
                <w:bCs w:val="0"/>
              </w:rPr>
            </w:pPr>
            <w:r w:rsidRPr="00137109">
              <w:rPr>
                <w:b/>
                <w:bCs w:val="0"/>
              </w:rPr>
              <w:t>Role</w:t>
            </w:r>
          </w:p>
        </w:tc>
      </w:tr>
      <w:tr w:rsidR="00FB7637" w:rsidRPr="00A917BA" w14:paraId="4DA8886D" w14:textId="77777777" w:rsidTr="00A17036">
        <w:trPr>
          <w:cnfStyle w:val="000000100000" w:firstRow="0" w:lastRow="0" w:firstColumn="0" w:lastColumn="0" w:oddVBand="0" w:evenVBand="0" w:oddHBand="1" w:evenHBand="0" w:firstRowFirstColumn="0" w:firstRowLastColumn="0" w:lastRowFirstColumn="0" w:lastRowLastColumn="0"/>
          <w:trHeight w:val="499"/>
        </w:trPr>
        <w:tc>
          <w:tcPr>
            <w:tcW w:w="2065" w:type="dxa"/>
            <w:shd w:val="clear" w:color="auto" w:fill="auto"/>
          </w:tcPr>
          <w:p w14:paraId="307CBE3E" w14:textId="77777777" w:rsidR="00FB7637" w:rsidRDefault="00FB7637" w:rsidP="00A17036">
            <w:pPr>
              <w:pStyle w:val="PTablebodytext"/>
              <w:keepNext/>
              <w:keepLines/>
            </w:pPr>
            <w:r>
              <w:t>Project Governance</w:t>
            </w:r>
          </w:p>
        </w:tc>
        <w:tc>
          <w:tcPr>
            <w:tcW w:w="4770" w:type="dxa"/>
            <w:shd w:val="clear" w:color="auto" w:fill="auto"/>
          </w:tcPr>
          <w:p w14:paraId="3C9B189B" w14:textId="281B1C8C" w:rsidR="00FB7637" w:rsidRDefault="00FB7637" w:rsidP="00A17036">
            <w:pPr>
              <w:pStyle w:val="PTablebodytext"/>
              <w:keepNext/>
              <w:keepLines/>
            </w:pPr>
            <w:r w:rsidRPr="009A7B24">
              <w:t>Executive oversight, quality metrics, stakeholder alignment</w:t>
            </w:r>
          </w:p>
        </w:tc>
        <w:tc>
          <w:tcPr>
            <w:tcW w:w="2124" w:type="dxa"/>
            <w:shd w:val="clear" w:color="auto" w:fill="auto"/>
          </w:tcPr>
          <w:p w14:paraId="1845ED2D" w14:textId="402B8C9A" w:rsidR="00FB7637" w:rsidRDefault="00FB7637" w:rsidP="00A17036">
            <w:pPr>
              <w:pStyle w:val="PTablebodytext"/>
              <w:keepNext/>
              <w:keepLines/>
            </w:pPr>
            <w:r w:rsidRPr="009A7B24">
              <w:t>QA Project Manager</w:t>
            </w:r>
          </w:p>
        </w:tc>
      </w:tr>
      <w:tr w:rsidR="00FB7637" w:rsidRPr="00A917BA" w14:paraId="7C6B7A10" w14:textId="77777777" w:rsidTr="00A17036">
        <w:trPr>
          <w:trHeight w:val="753"/>
        </w:trPr>
        <w:tc>
          <w:tcPr>
            <w:tcW w:w="2065" w:type="dxa"/>
          </w:tcPr>
          <w:p w14:paraId="55869676" w14:textId="77777777" w:rsidR="00FB7637" w:rsidRDefault="00FB7637" w:rsidP="00137109">
            <w:pPr>
              <w:pStyle w:val="PTablebodytext"/>
            </w:pPr>
            <w:r>
              <w:t>Technical Leadership</w:t>
            </w:r>
          </w:p>
        </w:tc>
        <w:tc>
          <w:tcPr>
            <w:tcW w:w="4770" w:type="dxa"/>
          </w:tcPr>
          <w:p w14:paraId="2747170B" w14:textId="2358B4F0" w:rsidR="00FB7637" w:rsidRDefault="00FB7637" w:rsidP="00137109">
            <w:pPr>
              <w:pStyle w:val="PTablebodytext"/>
            </w:pPr>
            <w:r w:rsidRPr="009A7B24">
              <w:t>Architecture validation, integration QA, environment readiness</w:t>
            </w:r>
          </w:p>
        </w:tc>
        <w:tc>
          <w:tcPr>
            <w:tcW w:w="2124" w:type="dxa"/>
          </w:tcPr>
          <w:p w14:paraId="131DE1C8" w14:textId="61C81A45" w:rsidR="00FB7637" w:rsidRDefault="00FB7637" w:rsidP="00137109">
            <w:pPr>
              <w:pStyle w:val="PTablebodytext"/>
            </w:pPr>
            <w:r w:rsidRPr="009A7B24">
              <w:t>QA Technical Manager</w:t>
            </w:r>
          </w:p>
        </w:tc>
      </w:tr>
      <w:tr w:rsidR="00FB7637" w:rsidRPr="00A917BA" w14:paraId="7B07F3E3" w14:textId="77777777" w:rsidTr="00A17036">
        <w:trPr>
          <w:cnfStyle w:val="000000100000" w:firstRow="0" w:lastRow="0" w:firstColumn="0" w:lastColumn="0" w:oddVBand="0" w:evenVBand="0" w:oddHBand="1" w:evenHBand="0" w:firstRowFirstColumn="0" w:firstRowLastColumn="0" w:lastRowFirstColumn="0" w:lastRowLastColumn="0"/>
          <w:trHeight w:val="499"/>
        </w:trPr>
        <w:tc>
          <w:tcPr>
            <w:tcW w:w="2065" w:type="dxa"/>
            <w:shd w:val="clear" w:color="auto" w:fill="auto"/>
          </w:tcPr>
          <w:p w14:paraId="4236B1CC" w14:textId="154E019C" w:rsidR="00FB7637" w:rsidRDefault="00FB7637" w:rsidP="00137109">
            <w:pPr>
              <w:pStyle w:val="PTablebodytext"/>
            </w:pPr>
            <w:r>
              <w:t>Quality Assurance Core</w:t>
            </w:r>
          </w:p>
        </w:tc>
        <w:tc>
          <w:tcPr>
            <w:tcW w:w="4770" w:type="dxa"/>
            <w:shd w:val="clear" w:color="auto" w:fill="auto"/>
          </w:tcPr>
          <w:p w14:paraId="474FADDC" w14:textId="3BAFE734" w:rsidR="00FB7637" w:rsidRDefault="00FB7637" w:rsidP="00137109">
            <w:pPr>
              <w:pStyle w:val="PTablebodytext"/>
            </w:pPr>
            <w:r w:rsidRPr="009A7B24">
              <w:t>Test strategy, planning, and defect governance</w:t>
            </w:r>
          </w:p>
        </w:tc>
        <w:tc>
          <w:tcPr>
            <w:tcW w:w="2124" w:type="dxa"/>
            <w:shd w:val="clear" w:color="auto" w:fill="auto"/>
          </w:tcPr>
          <w:p w14:paraId="76B78F78" w14:textId="4F9CF645" w:rsidR="00FB7637" w:rsidRDefault="00FB7637" w:rsidP="00137109">
            <w:pPr>
              <w:pStyle w:val="PTablebodytext"/>
            </w:pPr>
            <w:r w:rsidRPr="009A7B24">
              <w:t>QA Test Manager</w:t>
            </w:r>
          </w:p>
        </w:tc>
      </w:tr>
      <w:tr w:rsidR="00FB7637" w:rsidRPr="00A917BA" w14:paraId="308D8158" w14:textId="77777777" w:rsidTr="00A17036">
        <w:trPr>
          <w:trHeight w:val="509"/>
        </w:trPr>
        <w:tc>
          <w:tcPr>
            <w:tcW w:w="2065" w:type="dxa"/>
          </w:tcPr>
          <w:p w14:paraId="7B24510F" w14:textId="0834A43D" w:rsidR="00FB7637" w:rsidRDefault="00FB7637" w:rsidP="00137109">
            <w:pPr>
              <w:pStyle w:val="PTablebodytext"/>
            </w:pPr>
            <w:r w:rsidRPr="009A7B24">
              <w:t>Automation Engineering</w:t>
            </w:r>
          </w:p>
        </w:tc>
        <w:tc>
          <w:tcPr>
            <w:tcW w:w="4770" w:type="dxa"/>
          </w:tcPr>
          <w:p w14:paraId="3B46A78F" w14:textId="20780DCB" w:rsidR="00FB7637" w:rsidRDefault="00FB7637" w:rsidP="00137109">
            <w:pPr>
              <w:pStyle w:val="PTablebodytext"/>
            </w:pPr>
            <w:r w:rsidRPr="009A7B24">
              <w:t>Framework development, regression automation</w:t>
            </w:r>
          </w:p>
        </w:tc>
        <w:tc>
          <w:tcPr>
            <w:tcW w:w="2124" w:type="dxa"/>
          </w:tcPr>
          <w:p w14:paraId="45718F26" w14:textId="2005CF38" w:rsidR="00FB7637" w:rsidRDefault="00FB7637" w:rsidP="00137109">
            <w:pPr>
              <w:pStyle w:val="PTablebodytext"/>
            </w:pPr>
            <w:r w:rsidRPr="009A7B24">
              <w:t>Automation Lead</w:t>
            </w:r>
          </w:p>
        </w:tc>
      </w:tr>
      <w:tr w:rsidR="00FB7637" w:rsidRPr="00A917BA" w14:paraId="4D54CD2C" w14:textId="77777777" w:rsidTr="00A17036">
        <w:trPr>
          <w:cnfStyle w:val="000000100000" w:firstRow="0" w:lastRow="0" w:firstColumn="0" w:lastColumn="0" w:oddVBand="0" w:evenVBand="0" w:oddHBand="1" w:evenHBand="0" w:firstRowFirstColumn="0" w:firstRowLastColumn="0" w:lastRowFirstColumn="0" w:lastRowLastColumn="0"/>
          <w:trHeight w:val="499"/>
        </w:trPr>
        <w:tc>
          <w:tcPr>
            <w:tcW w:w="2065" w:type="dxa"/>
            <w:shd w:val="clear" w:color="auto" w:fill="auto"/>
          </w:tcPr>
          <w:p w14:paraId="3FA7CCF5" w14:textId="330B5AB5" w:rsidR="00FB7637" w:rsidRDefault="00FB7637" w:rsidP="00137109">
            <w:pPr>
              <w:pStyle w:val="PTablebodytext"/>
            </w:pPr>
            <w:r w:rsidRPr="009A7B24">
              <w:t>Performance Engineering</w:t>
            </w:r>
          </w:p>
        </w:tc>
        <w:tc>
          <w:tcPr>
            <w:tcW w:w="4770" w:type="dxa"/>
            <w:shd w:val="clear" w:color="auto" w:fill="auto"/>
          </w:tcPr>
          <w:p w14:paraId="236EB17E" w14:textId="100CB7E6" w:rsidR="00FB7637" w:rsidRDefault="00FB7637" w:rsidP="00137109">
            <w:pPr>
              <w:pStyle w:val="PTablebodytext"/>
            </w:pPr>
            <w:r w:rsidRPr="009A7B24">
              <w:t>Load, stress, and endurance testing</w:t>
            </w:r>
          </w:p>
        </w:tc>
        <w:tc>
          <w:tcPr>
            <w:tcW w:w="2124" w:type="dxa"/>
            <w:shd w:val="clear" w:color="auto" w:fill="auto"/>
          </w:tcPr>
          <w:p w14:paraId="772E7BEB" w14:textId="1E36AB08" w:rsidR="00FB7637" w:rsidRDefault="00FB7637" w:rsidP="00137109">
            <w:pPr>
              <w:pStyle w:val="PTablebodytext"/>
            </w:pPr>
            <w:r w:rsidRPr="009A7B24">
              <w:t>Performance Lead</w:t>
            </w:r>
          </w:p>
        </w:tc>
      </w:tr>
      <w:tr w:rsidR="00FB7637" w:rsidRPr="00A917BA" w14:paraId="73D7B257" w14:textId="77777777" w:rsidTr="00A17036">
        <w:trPr>
          <w:trHeight w:val="753"/>
        </w:trPr>
        <w:tc>
          <w:tcPr>
            <w:tcW w:w="2065" w:type="dxa"/>
          </w:tcPr>
          <w:p w14:paraId="22AAF122" w14:textId="792EEA02" w:rsidR="00FB7637" w:rsidRPr="009A7B24" w:rsidRDefault="00FB7637" w:rsidP="00137109">
            <w:pPr>
              <w:pStyle w:val="PTablebodytext"/>
            </w:pPr>
            <w:r w:rsidRPr="00EF052F">
              <w:t>Security &amp; Compliance</w:t>
            </w:r>
          </w:p>
        </w:tc>
        <w:tc>
          <w:tcPr>
            <w:tcW w:w="4770" w:type="dxa"/>
          </w:tcPr>
          <w:p w14:paraId="12F15E3A" w14:textId="385E5FA4" w:rsidR="00FB7637" w:rsidRPr="009A7B24" w:rsidRDefault="00FB7637" w:rsidP="00137109">
            <w:pPr>
              <w:pStyle w:val="PTablebodytext"/>
            </w:pPr>
            <w:r w:rsidRPr="001F2C20">
              <w:t>Vulnerability assessment, compliance validation, privacy risk review</w:t>
            </w:r>
          </w:p>
        </w:tc>
        <w:tc>
          <w:tcPr>
            <w:tcW w:w="2124" w:type="dxa"/>
          </w:tcPr>
          <w:p w14:paraId="567C2657" w14:textId="2AE9931C" w:rsidR="00FB7637" w:rsidRPr="009A7B24" w:rsidRDefault="00FB7637" w:rsidP="00137109">
            <w:pPr>
              <w:pStyle w:val="PTablebodytext"/>
            </w:pPr>
            <w:r w:rsidRPr="001F2C20">
              <w:t>Security Lead</w:t>
            </w:r>
          </w:p>
        </w:tc>
      </w:tr>
      <w:tr w:rsidR="00FB7637" w:rsidRPr="00A917BA" w14:paraId="53CC77AE" w14:textId="77777777" w:rsidTr="00A17036">
        <w:trPr>
          <w:cnfStyle w:val="000000100000" w:firstRow="0" w:lastRow="0" w:firstColumn="0" w:lastColumn="0" w:oddVBand="0" w:evenVBand="0" w:oddHBand="1" w:evenHBand="0" w:firstRowFirstColumn="0" w:firstRowLastColumn="0" w:lastRowFirstColumn="0" w:lastRowLastColumn="0"/>
          <w:trHeight w:val="753"/>
        </w:trPr>
        <w:tc>
          <w:tcPr>
            <w:tcW w:w="2065" w:type="dxa"/>
            <w:shd w:val="clear" w:color="auto" w:fill="auto"/>
          </w:tcPr>
          <w:p w14:paraId="494FF2EA" w14:textId="6F92BE93" w:rsidR="00FB7637" w:rsidRDefault="00FB7637" w:rsidP="00137109">
            <w:pPr>
              <w:pStyle w:val="PTablebodytext"/>
            </w:pPr>
            <w:r w:rsidRPr="009A7B24">
              <w:t>Functional Testing</w:t>
            </w:r>
          </w:p>
        </w:tc>
        <w:tc>
          <w:tcPr>
            <w:tcW w:w="4770" w:type="dxa"/>
            <w:shd w:val="clear" w:color="auto" w:fill="auto"/>
          </w:tcPr>
          <w:p w14:paraId="1B26E45C" w14:textId="4FA1980B" w:rsidR="00FB7637" w:rsidRDefault="00FB7637" w:rsidP="00137109">
            <w:pPr>
              <w:pStyle w:val="PTablebodytext"/>
            </w:pPr>
            <w:r w:rsidRPr="009A7B24">
              <w:t>Domain-specific business validation (CalWORKs, Medi-Cal, CalFresh)</w:t>
            </w:r>
          </w:p>
        </w:tc>
        <w:tc>
          <w:tcPr>
            <w:tcW w:w="2124" w:type="dxa"/>
            <w:shd w:val="clear" w:color="auto" w:fill="auto"/>
          </w:tcPr>
          <w:p w14:paraId="2659883E" w14:textId="2DD59797" w:rsidR="00FB7637" w:rsidRDefault="00FB7637" w:rsidP="00137109">
            <w:pPr>
              <w:pStyle w:val="PTablebodytext"/>
            </w:pPr>
            <w:r w:rsidRPr="009A7B24">
              <w:t>Functional Manager</w:t>
            </w:r>
          </w:p>
        </w:tc>
      </w:tr>
      <w:tr w:rsidR="00FB7637" w:rsidRPr="00A917BA" w14:paraId="7FA1F541" w14:textId="77777777" w:rsidTr="00A17036">
        <w:trPr>
          <w:trHeight w:val="509"/>
        </w:trPr>
        <w:tc>
          <w:tcPr>
            <w:tcW w:w="2065" w:type="dxa"/>
          </w:tcPr>
          <w:p w14:paraId="66184126" w14:textId="53EC8E71" w:rsidR="00FB7637" w:rsidRDefault="00FB7637" w:rsidP="00137109">
            <w:pPr>
              <w:pStyle w:val="PTablebodytext"/>
            </w:pPr>
            <w:r w:rsidRPr="009A7B24">
              <w:t>Data Validation</w:t>
            </w:r>
          </w:p>
        </w:tc>
        <w:tc>
          <w:tcPr>
            <w:tcW w:w="4770" w:type="dxa"/>
          </w:tcPr>
          <w:p w14:paraId="4B884112" w14:textId="75E9B17D" w:rsidR="00FB7637" w:rsidRDefault="00FB7637" w:rsidP="00137109">
            <w:pPr>
              <w:pStyle w:val="PTablebodytext"/>
            </w:pPr>
            <w:r w:rsidRPr="009A7B24">
              <w:t>Data migration and reconciliation QA</w:t>
            </w:r>
          </w:p>
        </w:tc>
        <w:tc>
          <w:tcPr>
            <w:tcW w:w="2124" w:type="dxa"/>
          </w:tcPr>
          <w:p w14:paraId="62CA22B2" w14:textId="4DED536A" w:rsidR="00FB7637" w:rsidRDefault="00FB7637" w:rsidP="00137109">
            <w:pPr>
              <w:pStyle w:val="PTablebodytext"/>
            </w:pPr>
            <w:r w:rsidRPr="009A7B24">
              <w:t>Data QA Lead</w:t>
            </w:r>
          </w:p>
        </w:tc>
      </w:tr>
      <w:tr w:rsidR="00FB7637" w:rsidRPr="00A917BA" w14:paraId="24E2D3B7" w14:textId="77777777" w:rsidTr="00A17036">
        <w:trPr>
          <w:cnfStyle w:val="000000100000" w:firstRow="0" w:lastRow="0" w:firstColumn="0" w:lastColumn="0" w:oddVBand="0" w:evenVBand="0" w:oddHBand="1" w:evenHBand="0" w:firstRowFirstColumn="0" w:firstRowLastColumn="0" w:lastRowFirstColumn="0" w:lastRowLastColumn="0"/>
          <w:trHeight w:val="499"/>
        </w:trPr>
        <w:tc>
          <w:tcPr>
            <w:tcW w:w="2065" w:type="dxa"/>
            <w:shd w:val="clear" w:color="auto" w:fill="auto"/>
          </w:tcPr>
          <w:p w14:paraId="034AC2B7" w14:textId="7FE1371E" w:rsidR="00FB7637" w:rsidRDefault="00FB7637" w:rsidP="00137109">
            <w:pPr>
              <w:pStyle w:val="PTablebodytext"/>
            </w:pPr>
            <w:r w:rsidRPr="009A7B24">
              <w:t>Training &amp; User Enablement</w:t>
            </w:r>
          </w:p>
        </w:tc>
        <w:tc>
          <w:tcPr>
            <w:tcW w:w="4770" w:type="dxa"/>
            <w:shd w:val="clear" w:color="auto" w:fill="auto"/>
          </w:tcPr>
          <w:p w14:paraId="661CA2F2" w14:textId="0AAA9283" w:rsidR="00FB7637" w:rsidRDefault="00FB7637" w:rsidP="00137109">
            <w:pPr>
              <w:pStyle w:val="PTablebodytext"/>
            </w:pPr>
            <w:r w:rsidRPr="009A7B24">
              <w:t>UAT facilitation, user-guide validation</w:t>
            </w:r>
          </w:p>
        </w:tc>
        <w:tc>
          <w:tcPr>
            <w:tcW w:w="2124" w:type="dxa"/>
            <w:shd w:val="clear" w:color="auto" w:fill="auto"/>
          </w:tcPr>
          <w:p w14:paraId="0A958382" w14:textId="5E898A69" w:rsidR="00FB7637" w:rsidRDefault="00FB7637" w:rsidP="00137109">
            <w:pPr>
              <w:pStyle w:val="PTablebodytext"/>
            </w:pPr>
            <w:r w:rsidRPr="009A7B24">
              <w:t>Training Coordinator</w:t>
            </w:r>
          </w:p>
        </w:tc>
      </w:tr>
    </w:tbl>
    <w:p w14:paraId="32387510" w14:textId="49A1F844" w:rsidR="00364AC9" w:rsidRPr="00CB0BAC" w:rsidRDefault="00364AC9" w:rsidP="00C22EE1">
      <w:pPr>
        <w:pStyle w:val="PSubheading3"/>
      </w:pPr>
      <w:bookmarkStart w:id="104" w:name="_Toc211632728"/>
      <w:bookmarkStart w:id="105" w:name="_Toc212236352"/>
      <w:bookmarkStart w:id="106" w:name="_Toc209082417"/>
      <w:r w:rsidRPr="00CB0BAC">
        <w:t>Maintenance &amp; Operations Teams</w:t>
      </w:r>
      <w:bookmarkEnd w:id="104"/>
      <w:bookmarkEnd w:id="105"/>
    </w:p>
    <w:p w14:paraId="3E612B88" w14:textId="153B927D" w:rsidR="000A7DC9" w:rsidRDefault="004D0606" w:rsidP="00CB0BAC">
      <w:pPr>
        <w:pStyle w:val="PBodytext"/>
      </w:pPr>
      <w:r w:rsidRPr="004D0606">
        <w:t xml:space="preserve">In the sustainment phase, Quadrant’s </w:t>
      </w:r>
      <w:r w:rsidRPr="004D0606">
        <w:rPr>
          <w:b/>
          <w:bCs/>
        </w:rPr>
        <w:t>AI-augmented QA bots</w:t>
      </w:r>
      <w:r w:rsidRPr="004D0606">
        <w:t xml:space="preserve"> monitor regression trends, detect anomalies, and automatically flag potential performance drifts. This predictive approach reduces issue turnaround time and ensures continuous alignment with SLAs and policy updates.</w:t>
      </w:r>
    </w:p>
    <w:p w14:paraId="7DE03072" w14:textId="30FD1629" w:rsidR="009978F2" w:rsidRPr="001C5060" w:rsidRDefault="009978F2" w:rsidP="00C22EE1">
      <w:pPr>
        <w:pStyle w:val="PSubheading3"/>
      </w:pPr>
      <w:bookmarkStart w:id="107" w:name="_Toc211632729"/>
      <w:bookmarkStart w:id="108" w:name="_Toc212236353"/>
      <w:r w:rsidRPr="001C5060">
        <w:t>Roles and Responsibilities</w:t>
      </w:r>
      <w:bookmarkEnd w:id="107"/>
      <w:bookmarkEnd w:id="108"/>
    </w:p>
    <w:p w14:paraId="1CAF74AF" w14:textId="77777777" w:rsidR="009978F2" w:rsidRPr="009A7B24" w:rsidRDefault="009978F2" w:rsidP="001C5060">
      <w:pPr>
        <w:pStyle w:val="PBodytext"/>
      </w:pPr>
      <w:r w:rsidRPr="009A7B24">
        <w:t>Each role within the QA organization is defined with measurable responsibilities and integrated checkpoints.</w:t>
      </w:r>
    </w:p>
    <w:p w14:paraId="121C2D60" w14:textId="77777777" w:rsidR="009978F2" w:rsidRPr="009A7B24" w:rsidRDefault="009978F2" w:rsidP="00A64463">
      <w:pPr>
        <w:pStyle w:val="PBulletlevel1"/>
      </w:pPr>
      <w:r w:rsidRPr="009A7B24">
        <w:rPr>
          <w:b/>
          <w:bCs/>
        </w:rPr>
        <w:t>QA Project Manager</w:t>
      </w:r>
      <w:r w:rsidRPr="009A7B24">
        <w:t xml:space="preserve"> – Owns QA governance, ensures contractual compliance, manages deliverables, and chairs QA review boards.</w:t>
      </w:r>
    </w:p>
    <w:p w14:paraId="5E058082" w14:textId="77777777" w:rsidR="009978F2" w:rsidRPr="009A7B24" w:rsidRDefault="009978F2" w:rsidP="00A64463">
      <w:pPr>
        <w:pStyle w:val="PBulletlevel1"/>
      </w:pPr>
      <w:r w:rsidRPr="009A7B24">
        <w:rPr>
          <w:b/>
          <w:bCs/>
        </w:rPr>
        <w:t>QA Test Manager</w:t>
      </w:r>
      <w:r w:rsidRPr="009A7B24">
        <w:t xml:space="preserve"> – Develops and maintains test strategy, manages release-specific QA planning, and tracks metrics.</w:t>
      </w:r>
    </w:p>
    <w:p w14:paraId="141FE3C1" w14:textId="77777777" w:rsidR="009978F2" w:rsidRPr="009A7B24" w:rsidRDefault="009978F2" w:rsidP="00A64463">
      <w:pPr>
        <w:pStyle w:val="PBulletlevel1"/>
      </w:pPr>
      <w:r w:rsidRPr="009A7B24">
        <w:rPr>
          <w:b/>
          <w:bCs/>
        </w:rPr>
        <w:t>QA Functional Manager</w:t>
      </w:r>
      <w:r w:rsidRPr="009A7B24">
        <w:t xml:space="preserve"> – Aligns test coverage with CalSAWS business rules; oversees domain testers.</w:t>
      </w:r>
    </w:p>
    <w:p w14:paraId="26712580" w14:textId="77777777" w:rsidR="009978F2" w:rsidRPr="009A7B24" w:rsidRDefault="009978F2" w:rsidP="00A64463">
      <w:pPr>
        <w:pStyle w:val="PBulletlevel1"/>
      </w:pPr>
      <w:r w:rsidRPr="009A7B24">
        <w:rPr>
          <w:b/>
          <w:bCs/>
        </w:rPr>
        <w:t>QA Technical Manager</w:t>
      </w:r>
      <w:r w:rsidRPr="009A7B24">
        <w:t xml:space="preserve"> – Validates infrastructure and integration layers; manages environment QA.</w:t>
      </w:r>
    </w:p>
    <w:p w14:paraId="31926395" w14:textId="77777777" w:rsidR="00530538" w:rsidRDefault="00530538" w:rsidP="00530538">
      <w:pPr>
        <w:pStyle w:val="PBulletlevel1"/>
      </w:pPr>
      <w:r w:rsidRPr="00530538">
        <w:rPr>
          <w:b/>
          <w:bCs/>
        </w:rPr>
        <w:lastRenderedPageBreak/>
        <w:t xml:space="preserve">QA </w:t>
      </w:r>
      <w:r w:rsidR="002917BF" w:rsidRPr="00530538">
        <w:rPr>
          <w:b/>
          <w:bCs/>
        </w:rPr>
        <w:t>Analytics Lead</w:t>
      </w:r>
      <w:r w:rsidR="002917BF" w:rsidRPr="00530538">
        <w:t xml:space="preserve"> – Oversees the integration of Power BI dashboards, automation telemetry, and AI-driven insight models into QA reporting, providing the Consortium with predictive visibility into quality and performance trends.</w:t>
      </w:r>
    </w:p>
    <w:p w14:paraId="62EBDB86" w14:textId="77777777" w:rsidR="005C68A0" w:rsidRDefault="002917BF" w:rsidP="005C68A0">
      <w:pPr>
        <w:pStyle w:val="PBulletlevel1"/>
      </w:pPr>
      <w:r w:rsidRPr="00530538">
        <w:rPr>
          <w:b/>
          <w:bCs/>
        </w:rPr>
        <w:t>QA SDET / Senior QA Analysts</w:t>
      </w:r>
      <w:r w:rsidRPr="00530538">
        <w:t xml:space="preserve"> – Execute automation and manual validation with embedded analytics, maintaining traceability across requirements, test cases, and regulatory changes.</w:t>
      </w:r>
      <w:r w:rsidR="005C68A0">
        <w:t xml:space="preserve"> Will own </w:t>
      </w:r>
      <w:r w:rsidR="005C68A0" w:rsidRPr="009A7B24">
        <w:t>performance test planning and tuning recommendations.</w:t>
      </w:r>
    </w:p>
    <w:p w14:paraId="18AA7985" w14:textId="0D5189E3" w:rsidR="005C68A0" w:rsidRDefault="005C68A0" w:rsidP="005C68A0">
      <w:pPr>
        <w:pStyle w:val="PBulletlevel1"/>
      </w:pPr>
      <w:r w:rsidRPr="009A7B24">
        <w:rPr>
          <w:b/>
          <w:bCs/>
        </w:rPr>
        <w:t>Security Lead</w:t>
      </w:r>
      <w:r w:rsidRPr="009A7B24">
        <w:t xml:space="preserve"> – Conducts vulnerability assessments; enforces compliance with OWASP Top 10.</w:t>
      </w:r>
    </w:p>
    <w:p w14:paraId="5B2B268B" w14:textId="533CC13C" w:rsidR="00F53E49" w:rsidRPr="00A64463" w:rsidRDefault="00F53E49" w:rsidP="00C22EE1">
      <w:pPr>
        <w:pStyle w:val="PSubheading3"/>
      </w:pPr>
      <w:bookmarkStart w:id="109" w:name="_Toc211632730"/>
      <w:bookmarkStart w:id="110" w:name="_Toc212236354"/>
      <w:r w:rsidRPr="00A64463">
        <w:t>Knowledge Management and Collaboration</w:t>
      </w:r>
      <w:bookmarkEnd w:id="109"/>
      <w:bookmarkEnd w:id="110"/>
    </w:p>
    <w:p w14:paraId="1256FEDE" w14:textId="77777777" w:rsidR="003006C3" w:rsidRDefault="00F53E49" w:rsidP="00A64463">
      <w:pPr>
        <w:pStyle w:val="PBodytext"/>
      </w:pPr>
      <w:r w:rsidRPr="009A7B24">
        <w:t>Quadrant’s Knowledge Management (KM) framework ensures that institutional knowledge is continuously captured and shared.</w:t>
      </w:r>
    </w:p>
    <w:p w14:paraId="2C34C8E6" w14:textId="77777777" w:rsidR="003006C3" w:rsidRDefault="00F53E49" w:rsidP="00A64463">
      <w:pPr>
        <w:pStyle w:val="PBodytext"/>
      </w:pPr>
      <w:r w:rsidRPr="009A7B24">
        <w:t xml:space="preserve">All QA artifacts, metrics, and lessons learned are stored in a central </w:t>
      </w:r>
      <w:r w:rsidRPr="009A7B24">
        <w:rPr>
          <w:b/>
          <w:bCs/>
        </w:rPr>
        <w:t>QA Knowledge Repository</w:t>
      </w:r>
      <w:r w:rsidRPr="009A7B24">
        <w:t xml:space="preserve"> accessible to the Consortium.</w:t>
      </w:r>
    </w:p>
    <w:p w14:paraId="6D4675B3" w14:textId="10A8707D" w:rsidR="0053593A" w:rsidRDefault="00F53E49" w:rsidP="00A64463">
      <w:pPr>
        <w:pStyle w:val="PBodytext"/>
      </w:pPr>
      <w:r w:rsidRPr="009A7B24">
        <w:t>Bi-weekly “QA Community of Practice” sessions promote cross-team learning, tool standardization, and innovation sharing.</w:t>
      </w:r>
      <w:r w:rsidR="00FA35CF">
        <w:t xml:space="preserve"> </w:t>
      </w:r>
      <w:r w:rsidR="00FA35CF" w:rsidRPr="00FA35CF">
        <w:t>This ensures that knowledge sharing extends beyond QA to become a collective learning platform for all CalSAWS partners</w:t>
      </w:r>
      <w:r w:rsidR="00A64463">
        <w:t xml:space="preserve"> – </w:t>
      </w:r>
      <w:r w:rsidR="00FA35CF" w:rsidRPr="00FA35CF">
        <w:t>reinforcing the spirit of shared innovation and accountability.</w:t>
      </w:r>
    </w:p>
    <w:p w14:paraId="7B1DFA11" w14:textId="15963DB2" w:rsidR="006D2907" w:rsidRDefault="006D2907" w:rsidP="00A64463">
      <w:pPr>
        <w:pStyle w:val="PBodytext"/>
      </w:pPr>
      <w:r w:rsidRPr="006D2907">
        <w:t xml:space="preserve">Quadrant’s collaborative knowledge framework also integrates </w:t>
      </w:r>
      <w:r w:rsidRPr="006D2907">
        <w:rPr>
          <w:b/>
          <w:bCs/>
        </w:rPr>
        <w:t xml:space="preserve">AI-powered knowledge </w:t>
      </w:r>
      <w:r w:rsidR="00CF4C08" w:rsidRPr="006D2907">
        <w:rPr>
          <w:b/>
          <w:bCs/>
        </w:rPr>
        <w:t>indexing</w:t>
      </w:r>
      <w:r w:rsidR="00CF4C08">
        <w:t>,</w:t>
      </w:r>
      <w:r w:rsidRPr="006D2907">
        <w:t xml:space="preserve"> enabling faster retrieval of past defect resolutions, automation scripts, and compliance documentation. This accelerates onboarding for new resources and ensures that every QA decision is data-backed and contextually informed</w:t>
      </w:r>
      <w:r w:rsidR="00CF4C08">
        <w:t>.</w:t>
      </w:r>
    </w:p>
    <w:p w14:paraId="70EED4AC" w14:textId="300F61A8" w:rsidR="00785636" w:rsidRDefault="00785636" w:rsidP="009E5AAC">
      <w:pPr>
        <w:pStyle w:val="PSubheading1"/>
        <w:keepNext w:val="0"/>
        <w:keepLines w:val="0"/>
      </w:pPr>
      <w:bookmarkStart w:id="111" w:name="_Toc212369224"/>
      <w:bookmarkStart w:id="112" w:name="_Toc212369295"/>
      <w:r w:rsidRPr="005A20C9">
        <w:t>6.3.3.5.2 Staffing Experience Details</w:t>
      </w:r>
      <w:bookmarkEnd w:id="111"/>
      <w:bookmarkEnd w:id="112"/>
      <w:r w:rsidRPr="00785636">
        <w:t> </w:t>
      </w:r>
    </w:p>
    <w:p w14:paraId="5CB7E8A8" w14:textId="257D0663" w:rsidR="0057556D" w:rsidRPr="00DE31DB" w:rsidRDefault="009E5AAC" w:rsidP="00B94589">
      <w:pPr>
        <w:pStyle w:val="PSubheading2"/>
        <w:numPr>
          <w:ilvl w:val="0"/>
          <w:numId w:val="11"/>
        </w:numPr>
        <w:ind w:left="360"/>
      </w:pPr>
      <w:bookmarkStart w:id="113" w:name="_Toc211632731"/>
      <w:bookmarkStart w:id="114" w:name="_Toc212236355"/>
      <w:bookmarkStart w:id="115" w:name="_Toc212369225"/>
      <w:bookmarkStart w:id="116" w:name="_Toc212369296"/>
      <w:r>
        <w:t xml:space="preserve">Attachment 10: </w:t>
      </w:r>
      <w:r w:rsidR="0057556D" w:rsidRPr="00DE31DB">
        <w:t>Key Staff Qualifications</w:t>
      </w:r>
      <w:bookmarkEnd w:id="106"/>
      <w:bookmarkEnd w:id="113"/>
      <w:bookmarkEnd w:id="114"/>
      <w:bookmarkEnd w:id="115"/>
      <w:bookmarkEnd w:id="116"/>
    </w:p>
    <w:p w14:paraId="5878813F" w14:textId="29E07F4D" w:rsidR="00D54577" w:rsidRPr="00DE31DB" w:rsidRDefault="00D54577" w:rsidP="00C22EE1">
      <w:pPr>
        <w:pStyle w:val="PSubheading3"/>
      </w:pPr>
      <w:bookmarkStart w:id="117" w:name="_Toc211632732"/>
      <w:bookmarkStart w:id="118" w:name="_Toc212236356"/>
      <w:r w:rsidRPr="00DE31DB">
        <w:t>Overview</w:t>
      </w:r>
      <w:bookmarkEnd w:id="117"/>
      <w:bookmarkEnd w:id="118"/>
    </w:p>
    <w:p w14:paraId="01005223" w14:textId="77777777" w:rsidR="000351C4" w:rsidRPr="00DE31DB" w:rsidRDefault="00D54577" w:rsidP="00DE31DB">
      <w:pPr>
        <w:pStyle w:val="PBodytext"/>
      </w:pPr>
      <w:r w:rsidRPr="00DE31DB">
        <w:t>Quadrant’s proposed Key Staff possess the technical acumen, leadership experience, and domain understanding necessary for successful QA delivery in a statewide welfare environment.</w:t>
      </w:r>
    </w:p>
    <w:p w14:paraId="5EC55293" w14:textId="43851C5F" w:rsidR="00D54577" w:rsidRPr="005B15BC" w:rsidRDefault="00D54577" w:rsidP="009E5AAC">
      <w:pPr>
        <w:pStyle w:val="PBodytext"/>
      </w:pPr>
      <w:r w:rsidRPr="00DE31DB">
        <w:t>Each Key Staff profile satisfies or exceeds the minimum RFP criteria and collectively represents over 120 years of cumulative QA experience across large government programs.</w:t>
      </w:r>
      <w:bookmarkStart w:id="119" w:name="_Toc211632733"/>
      <w:bookmarkStart w:id="120" w:name="_Toc212236357"/>
      <w:r w:rsidR="009E5AAC" w:rsidRPr="005B15BC">
        <w:t xml:space="preserve"> </w:t>
      </w:r>
      <w:r w:rsidRPr="005B15BC">
        <w:t>Succession Planning for Key Roles</w:t>
      </w:r>
      <w:bookmarkEnd w:id="119"/>
      <w:bookmarkEnd w:id="120"/>
    </w:p>
    <w:p w14:paraId="0CB572DD" w14:textId="77777777" w:rsidR="00E73E61" w:rsidRDefault="00D54577" w:rsidP="005B15BC">
      <w:pPr>
        <w:pStyle w:val="PBodytext"/>
      </w:pPr>
      <w:r w:rsidRPr="009A7B24">
        <w:t>For each Key Staff position, Quadrant maintains at least one pre-approved back-up candidate with equivalent qualifications.</w:t>
      </w:r>
    </w:p>
    <w:p w14:paraId="3FD093E4" w14:textId="12E9895A" w:rsidR="0012751B" w:rsidRDefault="00D54577" w:rsidP="00A96513">
      <w:pPr>
        <w:pStyle w:val="PBodytext"/>
      </w:pPr>
      <w:r w:rsidRPr="009A7B24">
        <w:t xml:space="preserve">Succession transitions follow a </w:t>
      </w:r>
      <w:r w:rsidRPr="009A7B24">
        <w:rPr>
          <w:b/>
          <w:bCs/>
        </w:rPr>
        <w:t>shadow-to-lead</w:t>
      </w:r>
      <w:r w:rsidRPr="009A7B24">
        <w:t xml:space="preserve"> model, ensuring knowledge transfer and zero disruption to QA activities.</w:t>
      </w:r>
    </w:p>
    <w:p w14:paraId="631B675B" w14:textId="486ABF62" w:rsidR="009E5AAC" w:rsidRPr="005A20C9" w:rsidRDefault="009E5AAC" w:rsidP="009E5AAC">
      <w:pPr>
        <w:pStyle w:val="PBodytext"/>
        <w:rPr>
          <w:lang w:val="en-GB"/>
        </w:rPr>
      </w:pPr>
      <w:r w:rsidRPr="005A20C9">
        <w:t>Detailed qualifications for all Key Staff are provided in Attachment 10 – Staff Qualifications.</w:t>
      </w:r>
    </w:p>
    <w:p w14:paraId="4BA2CE57" w14:textId="77777777" w:rsidR="009E5AAC" w:rsidRDefault="009E5AAC">
      <w:pPr>
        <w:rPr>
          <w:b/>
          <w:bCs/>
          <w:color w:val="000000" w:themeColor="text1"/>
          <w:szCs w:val="20"/>
        </w:rPr>
      </w:pPr>
      <w:r>
        <w:rPr>
          <w:b/>
          <w:bCs/>
        </w:rPr>
        <w:br w:type="page"/>
      </w:r>
    </w:p>
    <w:p w14:paraId="2D58F9A8" w14:textId="7717158E" w:rsidR="009E5AAC" w:rsidRPr="00DE38AE" w:rsidRDefault="009E5AAC" w:rsidP="00DE38AE">
      <w:pPr>
        <w:pStyle w:val="PSubheading2"/>
      </w:pPr>
      <w:bookmarkStart w:id="121" w:name="_Toc212369226"/>
      <w:bookmarkStart w:id="122" w:name="_Toc212369297"/>
      <w:r w:rsidRPr="00DE38AE">
        <w:lastRenderedPageBreak/>
        <w:t>Attachment 11: Staff Reference Checks</w:t>
      </w:r>
      <w:bookmarkEnd w:id="121"/>
      <w:bookmarkEnd w:id="122"/>
      <w:r w:rsidRPr="00DE38AE">
        <w:t> </w:t>
      </w:r>
    </w:p>
    <w:p w14:paraId="091290B9" w14:textId="496E7593" w:rsidR="009E5AAC" w:rsidRDefault="009E5AAC" w:rsidP="009E5AAC">
      <w:pPr>
        <w:pStyle w:val="PBodytext"/>
      </w:pPr>
      <w:r w:rsidRPr="005A20C9">
        <w:t xml:space="preserve">Individual Reference Checks for all Key Staff, prepared in the prescribed format, are included in Attachment 11 – Staff Reference Form. Each team member has consistently earned </w:t>
      </w:r>
      <w:r w:rsidRPr="005A20C9">
        <w:rPr>
          <w:b/>
          <w:bCs/>
        </w:rPr>
        <w:t>exceptional client feedback</w:t>
      </w:r>
      <w:r w:rsidRPr="005A20C9">
        <w:t xml:space="preserve"> for performance, collaboration, and results delivery. This proven record of trust, reliability, and excellence reinforces our confidence that </w:t>
      </w:r>
      <w:proofErr w:type="spellStart"/>
      <w:r w:rsidRPr="005A20C9">
        <w:t>CalSAWS</w:t>
      </w:r>
      <w:proofErr w:type="spellEnd"/>
      <w:r w:rsidRPr="005A20C9">
        <w:t xml:space="preserve"> will experience the same high standards of professionalism and partnership throughout this engagement.</w:t>
      </w:r>
    </w:p>
    <w:p w14:paraId="089610FA" w14:textId="439A3286" w:rsidR="00C91014" w:rsidRPr="005B15BC" w:rsidRDefault="009E5AAC" w:rsidP="00C22EE1">
      <w:pPr>
        <w:pStyle w:val="PSubheading3"/>
      </w:pPr>
      <w:r>
        <w:t>Staff Composition</w:t>
      </w:r>
    </w:p>
    <w:p w14:paraId="7D346BE8" w14:textId="2B918488" w:rsidR="00BC7D2E" w:rsidRPr="005B15BC" w:rsidRDefault="00D054BE" w:rsidP="005B15BC">
      <w:pPr>
        <w:pStyle w:val="PBodytext"/>
      </w:pPr>
      <w:r w:rsidRPr="005B15BC">
        <w:t>Quadrant Technologies shall deploy a cross-functional QA organization where responsibilities are clearly defined, measurable, and continuously reviewed against CalSAWS performance objectives.</w:t>
      </w:r>
    </w:p>
    <w:p w14:paraId="174B03A4" w14:textId="77777777" w:rsidR="00BC7D2E" w:rsidRPr="005B15BC" w:rsidRDefault="00D054BE" w:rsidP="005B15BC">
      <w:pPr>
        <w:pStyle w:val="PBodytext"/>
      </w:pPr>
      <w:r w:rsidRPr="005B15BC">
        <w:t>Each QA role is linked to specific deliverables and KPIs to ensure accountability, efficiency, and transparency.</w:t>
      </w:r>
    </w:p>
    <w:p w14:paraId="69B34FC7" w14:textId="0C175B52" w:rsidR="00D054BE" w:rsidRPr="005B15BC" w:rsidRDefault="00D054BE" w:rsidP="005B15BC">
      <w:pPr>
        <w:pStyle w:val="PBodytext"/>
      </w:pPr>
      <w:r w:rsidRPr="005B15BC">
        <w:t>Roles are organized under functional domains</w:t>
      </w:r>
      <w:r w:rsidR="009E5AAC">
        <w:t xml:space="preserve"> - </w:t>
      </w:r>
      <w:r w:rsidRPr="005B15BC">
        <w:t>governance, functional testing, automation, performance, and DevOps</w:t>
      </w:r>
      <w:r w:rsidR="009E5AAC">
        <w:t xml:space="preserve"> </w:t>
      </w:r>
      <w:r w:rsidRPr="005B15BC">
        <w:t xml:space="preserve">so that every </w:t>
      </w:r>
      <w:proofErr w:type="spellStart"/>
      <w:r w:rsidRPr="005B15BC">
        <w:t>CalSAWS</w:t>
      </w:r>
      <w:proofErr w:type="spellEnd"/>
      <w:r w:rsidRPr="005B15BC">
        <w:t xml:space="preserve"> business function is supported by a corresponding QA lead and delivery team.</w:t>
      </w:r>
    </w:p>
    <w:p w14:paraId="31E40335" w14:textId="7EA4B37D" w:rsidR="00AE1AC5" w:rsidRPr="005B15BC" w:rsidRDefault="00AE1AC5" w:rsidP="009E5AAC">
      <w:pPr>
        <w:pStyle w:val="PSubheading3"/>
        <w:numPr>
          <w:ilvl w:val="2"/>
          <w:numId w:val="11"/>
        </w:numPr>
      </w:pPr>
      <w:bookmarkStart w:id="123" w:name="_Toc211632736"/>
      <w:bookmarkStart w:id="124" w:name="_Toc212236360"/>
      <w:r w:rsidRPr="005B15BC">
        <w:t>Role-to-Responsibility Matrix</w:t>
      </w:r>
      <w:bookmarkEnd w:id="123"/>
      <w:bookmarkEnd w:id="124"/>
    </w:p>
    <w:p w14:paraId="7F2A937C" w14:textId="135BCC4B" w:rsidR="00EB716C" w:rsidRDefault="00AE1AC5" w:rsidP="005B15BC">
      <w:pPr>
        <w:pStyle w:val="PBodytext"/>
      </w:pPr>
      <w:r w:rsidRPr="00F5538A">
        <w:t xml:space="preserve">Quadrant’s </w:t>
      </w:r>
      <w:r w:rsidRPr="00F5538A">
        <w:rPr>
          <w:b/>
          <w:bCs/>
        </w:rPr>
        <w:t>Role-to-Responsibility Matrix (RRM)</w:t>
      </w:r>
      <w:r w:rsidRPr="00F5538A">
        <w:t xml:space="preserve"> delineates ownership across planning, execution, reporting, and continuous improvement dimensions.</w:t>
      </w:r>
    </w:p>
    <w:p w14:paraId="2F9E4392" w14:textId="6290915E" w:rsidR="00AD670D" w:rsidRDefault="00AD670D" w:rsidP="00AD670D">
      <w:pPr>
        <w:pStyle w:val="Caption"/>
      </w:pPr>
      <w:bookmarkStart w:id="125" w:name="_Toc212409118"/>
      <w:r>
        <w:t xml:space="preserve">Table </w:t>
      </w:r>
      <w:r>
        <w:fldChar w:fldCharType="begin"/>
      </w:r>
      <w:r>
        <w:instrText>SEQ Table \* ARABIC</w:instrText>
      </w:r>
      <w:r>
        <w:fldChar w:fldCharType="separate"/>
      </w:r>
      <w:r w:rsidR="00324369">
        <w:rPr>
          <w:noProof/>
        </w:rPr>
        <w:t>4</w:t>
      </w:r>
      <w:r>
        <w:fldChar w:fldCharType="end"/>
      </w:r>
      <w:r>
        <w:t>. Role</w:t>
      </w:r>
      <w:r w:rsidR="00E030E8">
        <w:t>-to-Responsibility Matrix</w:t>
      </w:r>
      <w:bookmarkEnd w:id="125"/>
    </w:p>
    <w:tbl>
      <w:tblPr>
        <w:tblStyle w:val="PlainTable1"/>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72" w:type="dxa"/>
          <w:left w:w="72" w:type="dxa"/>
          <w:bottom w:w="72" w:type="dxa"/>
          <w:right w:w="72" w:type="dxa"/>
        </w:tblCellMar>
        <w:tblLook w:val="0420" w:firstRow="1" w:lastRow="0" w:firstColumn="0" w:lastColumn="0" w:noHBand="0" w:noVBand="1"/>
      </w:tblPr>
      <w:tblGrid>
        <w:gridCol w:w="1705"/>
        <w:gridCol w:w="3313"/>
        <w:gridCol w:w="2425"/>
        <w:gridCol w:w="1907"/>
      </w:tblGrid>
      <w:tr w:rsidR="00AE5A88" w:rsidRPr="00A917BA" w14:paraId="771C7E48" w14:textId="516EA28B" w:rsidTr="00F3235F">
        <w:trPr>
          <w:cnfStyle w:val="100000000000" w:firstRow="1" w:lastRow="0" w:firstColumn="0" w:lastColumn="0" w:oddVBand="0" w:evenVBand="0" w:oddHBand="0" w:evenHBand="0" w:firstRowFirstColumn="0" w:firstRowLastColumn="0" w:lastRowFirstColumn="0" w:lastRowLastColumn="0"/>
        </w:trPr>
        <w:tc>
          <w:tcPr>
            <w:tcW w:w="1705" w:type="dxa"/>
            <w:shd w:val="clear" w:color="auto" w:fill="C5E9FE" w:themeFill="accent3" w:themeFillTint="33"/>
          </w:tcPr>
          <w:p w14:paraId="5FCA741D" w14:textId="77777777" w:rsidR="00AE5A88" w:rsidRPr="00A917BA" w:rsidRDefault="00AE5A88" w:rsidP="00F3235F">
            <w:pPr>
              <w:pStyle w:val="PTablebodytext"/>
            </w:pPr>
            <w:r>
              <w:t>Role</w:t>
            </w:r>
          </w:p>
        </w:tc>
        <w:tc>
          <w:tcPr>
            <w:tcW w:w="3313" w:type="dxa"/>
            <w:shd w:val="clear" w:color="auto" w:fill="C5E9FE" w:themeFill="accent3" w:themeFillTint="33"/>
          </w:tcPr>
          <w:p w14:paraId="74D562BC" w14:textId="02CC860F" w:rsidR="00AE5A88" w:rsidRPr="00A917BA" w:rsidRDefault="00D049EC" w:rsidP="00F3235F">
            <w:pPr>
              <w:pStyle w:val="PTablebodytext"/>
            </w:pPr>
            <w:r>
              <w:t xml:space="preserve">Primary </w:t>
            </w:r>
            <w:r w:rsidR="00AE5A88">
              <w:t>Responsibilities</w:t>
            </w:r>
          </w:p>
        </w:tc>
        <w:tc>
          <w:tcPr>
            <w:tcW w:w="2425" w:type="dxa"/>
            <w:shd w:val="clear" w:color="auto" w:fill="C5E9FE" w:themeFill="accent3" w:themeFillTint="33"/>
          </w:tcPr>
          <w:p w14:paraId="3939BD35" w14:textId="7022EB16" w:rsidR="00AE5A88" w:rsidRPr="00AD670D" w:rsidRDefault="00377B19" w:rsidP="00F3235F">
            <w:pPr>
              <w:pStyle w:val="PTablebodytext"/>
            </w:pPr>
            <w:r w:rsidRPr="00AD670D">
              <w:t xml:space="preserve">Core </w:t>
            </w:r>
            <w:r w:rsidR="00AE5A88" w:rsidRPr="00AD670D">
              <w:t>Skills &amp; Tools</w:t>
            </w:r>
          </w:p>
        </w:tc>
        <w:tc>
          <w:tcPr>
            <w:tcW w:w="1907" w:type="dxa"/>
            <w:shd w:val="clear" w:color="auto" w:fill="C5E9FE" w:themeFill="accent3" w:themeFillTint="33"/>
          </w:tcPr>
          <w:p w14:paraId="1C5E8F75" w14:textId="14741E5E" w:rsidR="00AE5A88" w:rsidRPr="00AD670D" w:rsidRDefault="00E45A1C" w:rsidP="00F3235F">
            <w:pPr>
              <w:pStyle w:val="PTablebodytext"/>
            </w:pPr>
            <w:r w:rsidRPr="00AD670D">
              <w:t>Key Deliverables</w:t>
            </w:r>
          </w:p>
        </w:tc>
      </w:tr>
      <w:tr w:rsidR="00AE5A88" w:rsidRPr="00A917BA" w14:paraId="0243FC43" w14:textId="5EBCD88B" w:rsidTr="00F3235F">
        <w:trPr>
          <w:cnfStyle w:val="000000100000" w:firstRow="0" w:lastRow="0" w:firstColumn="0" w:lastColumn="0" w:oddVBand="0" w:evenVBand="0" w:oddHBand="1" w:evenHBand="0" w:firstRowFirstColumn="0" w:firstRowLastColumn="0" w:lastRowFirstColumn="0" w:lastRowLastColumn="0"/>
        </w:trPr>
        <w:tc>
          <w:tcPr>
            <w:tcW w:w="1705" w:type="dxa"/>
            <w:shd w:val="clear" w:color="auto" w:fill="auto"/>
          </w:tcPr>
          <w:p w14:paraId="1B257CCE" w14:textId="4F14155F" w:rsidR="00AE5A88" w:rsidRDefault="00AE5A88" w:rsidP="00F3235F">
            <w:pPr>
              <w:pStyle w:val="PTablebodytext"/>
            </w:pPr>
            <w:r>
              <w:t xml:space="preserve">QA </w:t>
            </w:r>
            <w:r w:rsidR="008E4B1D">
              <w:t xml:space="preserve">Project </w:t>
            </w:r>
            <w:r>
              <w:t>Manager</w:t>
            </w:r>
          </w:p>
        </w:tc>
        <w:tc>
          <w:tcPr>
            <w:tcW w:w="3313" w:type="dxa"/>
            <w:shd w:val="clear" w:color="auto" w:fill="auto"/>
          </w:tcPr>
          <w:p w14:paraId="0831AD00" w14:textId="6664E5DB" w:rsidR="00AE5A88" w:rsidRDefault="00BA3F96" w:rsidP="00F3235F">
            <w:pPr>
              <w:pStyle w:val="PTablebodytext"/>
            </w:pPr>
            <w:r w:rsidRPr="00F5538A">
              <w:t>Leads QA strategy, stakeholder management, governance reporting, schedule adherence</w:t>
            </w:r>
          </w:p>
        </w:tc>
        <w:tc>
          <w:tcPr>
            <w:tcW w:w="2425" w:type="dxa"/>
            <w:shd w:val="clear" w:color="auto" w:fill="auto"/>
          </w:tcPr>
          <w:p w14:paraId="74C69B62" w14:textId="214147B3" w:rsidR="00AE5A88" w:rsidRDefault="005762BF" w:rsidP="00F3235F">
            <w:pPr>
              <w:pStyle w:val="PTablebodytext"/>
            </w:pPr>
            <w:r w:rsidRPr="00F5538A">
              <w:t>Agile, PMBOK, JIRA, Power BI dashboards</w:t>
            </w:r>
          </w:p>
        </w:tc>
        <w:tc>
          <w:tcPr>
            <w:tcW w:w="1907" w:type="dxa"/>
            <w:shd w:val="clear" w:color="auto" w:fill="auto"/>
          </w:tcPr>
          <w:p w14:paraId="0DCC22F7" w14:textId="059689EE" w:rsidR="00AE5A88" w:rsidRDefault="000D6A07" w:rsidP="00F3235F">
            <w:pPr>
              <w:pStyle w:val="PTablebodytext"/>
            </w:pPr>
            <w:r w:rsidRPr="00F5538A">
              <w:t>QA Plan, Status Reports, Risk Logs</w:t>
            </w:r>
          </w:p>
        </w:tc>
      </w:tr>
      <w:tr w:rsidR="00AE5A88" w:rsidRPr="00A917BA" w14:paraId="0B7E08D3" w14:textId="25951228" w:rsidTr="00F3235F">
        <w:tc>
          <w:tcPr>
            <w:tcW w:w="1705" w:type="dxa"/>
          </w:tcPr>
          <w:p w14:paraId="05313AFC" w14:textId="40199439" w:rsidR="00AE5A88" w:rsidRDefault="00BE162F" w:rsidP="00F3235F">
            <w:pPr>
              <w:pStyle w:val="PTablebodytext"/>
            </w:pPr>
            <w:r w:rsidRPr="00BE162F">
              <w:t>QA Test Manager</w:t>
            </w:r>
          </w:p>
        </w:tc>
        <w:tc>
          <w:tcPr>
            <w:tcW w:w="3313" w:type="dxa"/>
          </w:tcPr>
          <w:p w14:paraId="4CB08235" w14:textId="6493312D" w:rsidR="00AE5A88" w:rsidRDefault="007C4B8D" w:rsidP="00F3235F">
            <w:pPr>
              <w:pStyle w:val="PTablebodytext"/>
            </w:pPr>
            <w:r w:rsidRPr="007C4B8D">
              <w:t>Oversees test planning, execution, and defect lifecycle</w:t>
            </w:r>
          </w:p>
        </w:tc>
        <w:tc>
          <w:tcPr>
            <w:tcW w:w="2425" w:type="dxa"/>
          </w:tcPr>
          <w:p w14:paraId="2A7FFF9E" w14:textId="1AE15956" w:rsidR="00AE5A88" w:rsidRDefault="00704BA8" w:rsidP="00F3235F">
            <w:pPr>
              <w:pStyle w:val="PTablebodytext"/>
            </w:pPr>
            <w:r w:rsidRPr="00704BA8">
              <w:t>TestRail, Azure DevOps, SQL validation</w:t>
            </w:r>
          </w:p>
        </w:tc>
        <w:tc>
          <w:tcPr>
            <w:tcW w:w="1907" w:type="dxa"/>
          </w:tcPr>
          <w:p w14:paraId="62E6594D" w14:textId="69C883BA" w:rsidR="00AE5A88" w:rsidRDefault="00A74DFC" w:rsidP="00F3235F">
            <w:pPr>
              <w:pStyle w:val="PTablebodytext"/>
            </w:pPr>
            <w:r w:rsidRPr="00A74DFC">
              <w:t>Test Strategy Document, Defect Metrics</w:t>
            </w:r>
          </w:p>
        </w:tc>
      </w:tr>
      <w:tr w:rsidR="00AE5A88" w:rsidRPr="00A917BA" w14:paraId="573EFECC" w14:textId="3AC276EC" w:rsidTr="00F3235F">
        <w:trPr>
          <w:cnfStyle w:val="000000100000" w:firstRow="0" w:lastRow="0" w:firstColumn="0" w:lastColumn="0" w:oddVBand="0" w:evenVBand="0" w:oddHBand="1" w:evenHBand="0" w:firstRowFirstColumn="0" w:firstRowLastColumn="0" w:lastRowFirstColumn="0" w:lastRowLastColumn="0"/>
        </w:trPr>
        <w:tc>
          <w:tcPr>
            <w:tcW w:w="1705" w:type="dxa"/>
            <w:shd w:val="clear" w:color="auto" w:fill="auto"/>
          </w:tcPr>
          <w:p w14:paraId="7D253182" w14:textId="1AD0325F" w:rsidR="00AE5A88" w:rsidRDefault="006D283E" w:rsidP="00F3235F">
            <w:pPr>
              <w:pStyle w:val="PTablebodytext"/>
            </w:pPr>
            <w:r w:rsidRPr="006D283E">
              <w:t>QA Functional Manager</w:t>
            </w:r>
          </w:p>
        </w:tc>
        <w:tc>
          <w:tcPr>
            <w:tcW w:w="3313" w:type="dxa"/>
            <w:shd w:val="clear" w:color="auto" w:fill="auto"/>
          </w:tcPr>
          <w:p w14:paraId="16E94489" w14:textId="52D4EA7B" w:rsidR="00AE5A88" w:rsidRDefault="00D374ED" w:rsidP="00F3235F">
            <w:pPr>
              <w:pStyle w:val="PTablebodytext"/>
            </w:pPr>
            <w:r w:rsidRPr="00D374ED">
              <w:t>Ensures domain-specific coverage for eligibility and benefit modules</w:t>
            </w:r>
          </w:p>
        </w:tc>
        <w:tc>
          <w:tcPr>
            <w:tcW w:w="2425" w:type="dxa"/>
            <w:shd w:val="clear" w:color="auto" w:fill="auto"/>
          </w:tcPr>
          <w:p w14:paraId="0DF6FC70" w14:textId="767EE4B9" w:rsidR="00AE5A88" w:rsidRDefault="00450F9F" w:rsidP="00F3235F">
            <w:pPr>
              <w:pStyle w:val="PTablebodytext"/>
            </w:pPr>
            <w:r w:rsidRPr="00450F9F">
              <w:t>CalWORKs domain knowledge, UAT coordination</w:t>
            </w:r>
          </w:p>
        </w:tc>
        <w:tc>
          <w:tcPr>
            <w:tcW w:w="1907" w:type="dxa"/>
            <w:shd w:val="clear" w:color="auto" w:fill="auto"/>
          </w:tcPr>
          <w:p w14:paraId="51590B9B" w14:textId="7A69CF04" w:rsidR="00AE5A88" w:rsidRDefault="005669F4" w:rsidP="00F3235F">
            <w:pPr>
              <w:pStyle w:val="PTablebodytext"/>
            </w:pPr>
            <w:r w:rsidRPr="005669F4">
              <w:t>Functional Traceability Matrix, UAT Summary</w:t>
            </w:r>
          </w:p>
        </w:tc>
      </w:tr>
      <w:tr w:rsidR="00AE5A88" w:rsidRPr="00A917BA" w14:paraId="04C9B5F1" w14:textId="7B48D480" w:rsidTr="00F3235F">
        <w:tc>
          <w:tcPr>
            <w:tcW w:w="1705" w:type="dxa"/>
          </w:tcPr>
          <w:p w14:paraId="26C1B519" w14:textId="63CAF8CC" w:rsidR="00AE5A88" w:rsidRDefault="007D4AC5" w:rsidP="00F3235F">
            <w:pPr>
              <w:pStyle w:val="PTablebodytext"/>
            </w:pPr>
            <w:r w:rsidRPr="007D4AC5">
              <w:t>QA Technical Manager</w:t>
            </w:r>
          </w:p>
        </w:tc>
        <w:tc>
          <w:tcPr>
            <w:tcW w:w="3313" w:type="dxa"/>
          </w:tcPr>
          <w:p w14:paraId="704D4384" w14:textId="1CA73C8C" w:rsidR="00AE5A88" w:rsidRDefault="00787A6C" w:rsidP="00F3235F">
            <w:pPr>
              <w:pStyle w:val="PTablebodytext"/>
            </w:pPr>
            <w:r w:rsidRPr="00787A6C">
              <w:t>Manages environment validation, integration QA, security</w:t>
            </w:r>
          </w:p>
        </w:tc>
        <w:tc>
          <w:tcPr>
            <w:tcW w:w="2425" w:type="dxa"/>
          </w:tcPr>
          <w:p w14:paraId="5F240B13" w14:textId="78399D9D" w:rsidR="00AE5A88" w:rsidRDefault="005922E4" w:rsidP="00F3235F">
            <w:pPr>
              <w:pStyle w:val="PTablebodytext"/>
            </w:pPr>
            <w:r w:rsidRPr="005922E4">
              <w:t>Jenkins, Docker, Kubernetes</w:t>
            </w:r>
          </w:p>
        </w:tc>
        <w:tc>
          <w:tcPr>
            <w:tcW w:w="1907" w:type="dxa"/>
          </w:tcPr>
          <w:p w14:paraId="340D2CA2" w14:textId="48A65D88" w:rsidR="00AE5A88" w:rsidRDefault="00830ACC" w:rsidP="00F3235F">
            <w:pPr>
              <w:pStyle w:val="PTablebodytext"/>
            </w:pPr>
            <w:r w:rsidRPr="00830ACC">
              <w:t>Environment Readiness Reports</w:t>
            </w:r>
          </w:p>
        </w:tc>
      </w:tr>
      <w:tr w:rsidR="00AE5A88" w:rsidRPr="00A917BA" w14:paraId="0970F97B" w14:textId="35CF4CA0" w:rsidTr="00F3235F">
        <w:trPr>
          <w:cnfStyle w:val="000000100000" w:firstRow="0" w:lastRow="0" w:firstColumn="0" w:lastColumn="0" w:oddVBand="0" w:evenVBand="0" w:oddHBand="1" w:evenHBand="0" w:firstRowFirstColumn="0" w:firstRowLastColumn="0" w:lastRowFirstColumn="0" w:lastRowLastColumn="0"/>
        </w:trPr>
        <w:tc>
          <w:tcPr>
            <w:tcW w:w="1705" w:type="dxa"/>
            <w:shd w:val="clear" w:color="auto" w:fill="auto"/>
          </w:tcPr>
          <w:p w14:paraId="49559074" w14:textId="509524EC" w:rsidR="00AE5A88" w:rsidRDefault="0018525B" w:rsidP="00F3235F">
            <w:pPr>
              <w:pStyle w:val="PTablebodytext"/>
            </w:pPr>
            <w:r w:rsidRPr="0018525B">
              <w:t>Automation Engineers</w:t>
            </w:r>
          </w:p>
        </w:tc>
        <w:tc>
          <w:tcPr>
            <w:tcW w:w="3313" w:type="dxa"/>
            <w:shd w:val="clear" w:color="auto" w:fill="auto"/>
          </w:tcPr>
          <w:p w14:paraId="72938AEE" w14:textId="1503F7C5" w:rsidR="00AE5A88" w:rsidRDefault="009C6B29" w:rsidP="00F3235F">
            <w:pPr>
              <w:pStyle w:val="PTablebodytext"/>
            </w:pPr>
            <w:r w:rsidRPr="009C6B29">
              <w:t>Build &amp; maintain automated test suites</w:t>
            </w:r>
          </w:p>
        </w:tc>
        <w:tc>
          <w:tcPr>
            <w:tcW w:w="2425" w:type="dxa"/>
            <w:shd w:val="clear" w:color="auto" w:fill="auto"/>
          </w:tcPr>
          <w:p w14:paraId="2145AFAB" w14:textId="4B83C458" w:rsidR="00AE5A88" w:rsidRDefault="00715395" w:rsidP="00F3235F">
            <w:pPr>
              <w:pStyle w:val="PTablebodytext"/>
            </w:pPr>
            <w:r w:rsidRPr="00715395">
              <w:t>Selenium, Cypress, Playwright (Java/Python)</w:t>
            </w:r>
          </w:p>
        </w:tc>
        <w:tc>
          <w:tcPr>
            <w:tcW w:w="1907" w:type="dxa"/>
            <w:shd w:val="clear" w:color="auto" w:fill="auto"/>
          </w:tcPr>
          <w:p w14:paraId="6CBB5AE8" w14:textId="4A3E4E87" w:rsidR="00AE5A88" w:rsidRDefault="00C24CA9" w:rsidP="00F3235F">
            <w:pPr>
              <w:pStyle w:val="PTablebodytext"/>
            </w:pPr>
            <w:r w:rsidRPr="00F5538A">
              <w:t>Regression Automation Suites</w:t>
            </w:r>
          </w:p>
        </w:tc>
      </w:tr>
      <w:tr w:rsidR="00AE5A88" w:rsidRPr="00A917BA" w14:paraId="403C2198" w14:textId="23233A52" w:rsidTr="00F3235F">
        <w:tc>
          <w:tcPr>
            <w:tcW w:w="1705" w:type="dxa"/>
          </w:tcPr>
          <w:p w14:paraId="4E1FACAA" w14:textId="2577DA67" w:rsidR="00AE5A88" w:rsidRDefault="00B200A1" w:rsidP="00F3235F">
            <w:pPr>
              <w:pStyle w:val="PTablebodytext"/>
            </w:pPr>
            <w:r w:rsidRPr="00B200A1">
              <w:t>Manual Testers</w:t>
            </w:r>
          </w:p>
        </w:tc>
        <w:tc>
          <w:tcPr>
            <w:tcW w:w="3313" w:type="dxa"/>
          </w:tcPr>
          <w:p w14:paraId="302FCC73" w14:textId="64556F44" w:rsidR="00AE5A88" w:rsidRDefault="00277D1E" w:rsidP="00F3235F">
            <w:pPr>
              <w:pStyle w:val="PTablebodytext"/>
            </w:pPr>
            <w:r w:rsidRPr="00277D1E">
              <w:t>Execute functional and exploratory tests per business rules</w:t>
            </w:r>
          </w:p>
        </w:tc>
        <w:tc>
          <w:tcPr>
            <w:tcW w:w="2425" w:type="dxa"/>
          </w:tcPr>
          <w:p w14:paraId="34C337B0" w14:textId="0A4FB866" w:rsidR="00AE5A88" w:rsidRDefault="00896D31" w:rsidP="00F3235F">
            <w:pPr>
              <w:pStyle w:val="PTablebodytext"/>
            </w:pPr>
            <w:r w:rsidRPr="00896D31">
              <w:t>TestRail, Defect Tracking Tools</w:t>
            </w:r>
          </w:p>
        </w:tc>
        <w:tc>
          <w:tcPr>
            <w:tcW w:w="1907" w:type="dxa"/>
          </w:tcPr>
          <w:p w14:paraId="19811B8E" w14:textId="6B6C49BA" w:rsidR="00AE5A88" w:rsidRDefault="00FC2F48" w:rsidP="00F3235F">
            <w:pPr>
              <w:pStyle w:val="PTablebodytext"/>
            </w:pPr>
            <w:r w:rsidRPr="00F5538A">
              <w:t>Test Case Execution Reports</w:t>
            </w:r>
          </w:p>
        </w:tc>
      </w:tr>
      <w:tr w:rsidR="002B36BF" w:rsidRPr="00A917BA" w14:paraId="2DD8C295" w14:textId="77777777" w:rsidTr="002B36BF">
        <w:trPr>
          <w:cnfStyle w:val="000000100000" w:firstRow="0" w:lastRow="0" w:firstColumn="0" w:lastColumn="0" w:oddVBand="0" w:evenVBand="0" w:oddHBand="1" w:evenHBand="0" w:firstRowFirstColumn="0" w:firstRowLastColumn="0" w:lastRowFirstColumn="0" w:lastRowLastColumn="0"/>
        </w:trPr>
        <w:tc>
          <w:tcPr>
            <w:tcW w:w="1705" w:type="dxa"/>
            <w:shd w:val="clear" w:color="auto" w:fill="C9F0FF" w:themeFill="accent4" w:themeFillTint="33"/>
          </w:tcPr>
          <w:p w14:paraId="4D70137B" w14:textId="01171AF9" w:rsidR="002B36BF" w:rsidRPr="002B36BF" w:rsidRDefault="002B36BF" w:rsidP="002B36BF">
            <w:pPr>
              <w:pStyle w:val="PTablebodytext"/>
              <w:keepNext/>
              <w:keepLines/>
              <w:rPr>
                <w:b/>
                <w:bCs/>
              </w:rPr>
            </w:pPr>
            <w:r w:rsidRPr="002B36BF">
              <w:rPr>
                <w:b/>
                <w:bCs/>
              </w:rPr>
              <w:lastRenderedPageBreak/>
              <w:t>Role</w:t>
            </w:r>
          </w:p>
        </w:tc>
        <w:tc>
          <w:tcPr>
            <w:tcW w:w="3313" w:type="dxa"/>
            <w:shd w:val="clear" w:color="auto" w:fill="C9F0FF" w:themeFill="accent4" w:themeFillTint="33"/>
          </w:tcPr>
          <w:p w14:paraId="5FA83ECE" w14:textId="6E726047" w:rsidR="002B36BF" w:rsidRPr="002B36BF" w:rsidRDefault="002B36BF" w:rsidP="002B36BF">
            <w:pPr>
              <w:pStyle w:val="PTablebodytext"/>
              <w:keepNext/>
              <w:keepLines/>
              <w:rPr>
                <w:b/>
                <w:bCs/>
              </w:rPr>
            </w:pPr>
            <w:r w:rsidRPr="002B36BF">
              <w:rPr>
                <w:b/>
                <w:bCs/>
              </w:rPr>
              <w:t>Primary Responsibilities</w:t>
            </w:r>
          </w:p>
        </w:tc>
        <w:tc>
          <w:tcPr>
            <w:tcW w:w="2425" w:type="dxa"/>
            <w:shd w:val="clear" w:color="auto" w:fill="C9F0FF" w:themeFill="accent4" w:themeFillTint="33"/>
          </w:tcPr>
          <w:p w14:paraId="547E5EF8" w14:textId="34E468E0" w:rsidR="002B36BF" w:rsidRPr="002B36BF" w:rsidRDefault="002B36BF" w:rsidP="002B36BF">
            <w:pPr>
              <w:pStyle w:val="PTablebodytext"/>
              <w:keepNext/>
              <w:keepLines/>
              <w:rPr>
                <w:b/>
                <w:bCs/>
              </w:rPr>
            </w:pPr>
            <w:r w:rsidRPr="002B36BF">
              <w:rPr>
                <w:b/>
                <w:bCs/>
              </w:rPr>
              <w:t>Core Skills &amp; Tools</w:t>
            </w:r>
          </w:p>
        </w:tc>
        <w:tc>
          <w:tcPr>
            <w:tcW w:w="1907" w:type="dxa"/>
            <w:shd w:val="clear" w:color="auto" w:fill="C9F0FF" w:themeFill="accent4" w:themeFillTint="33"/>
          </w:tcPr>
          <w:p w14:paraId="0F0E2CC9" w14:textId="399819BD" w:rsidR="002B36BF" w:rsidRPr="002B36BF" w:rsidRDefault="002B36BF" w:rsidP="002B36BF">
            <w:pPr>
              <w:pStyle w:val="PTablebodytext"/>
              <w:rPr>
                <w:b/>
                <w:bCs/>
              </w:rPr>
            </w:pPr>
            <w:r w:rsidRPr="002B36BF">
              <w:rPr>
                <w:b/>
                <w:bCs/>
              </w:rPr>
              <w:t>Key Deliverables</w:t>
            </w:r>
          </w:p>
        </w:tc>
      </w:tr>
      <w:tr w:rsidR="00AE5A88" w:rsidRPr="00A917BA" w14:paraId="4E4017B3" w14:textId="0B8F092F" w:rsidTr="00F3235F">
        <w:tc>
          <w:tcPr>
            <w:tcW w:w="1705" w:type="dxa"/>
          </w:tcPr>
          <w:p w14:paraId="5DE1A912" w14:textId="462D157A" w:rsidR="00AE5A88" w:rsidRDefault="00C90493" w:rsidP="002B36BF">
            <w:pPr>
              <w:pStyle w:val="PTablebodytext"/>
              <w:keepNext/>
              <w:keepLines/>
            </w:pPr>
            <w:r w:rsidRPr="00C90493">
              <w:t>Performance Testers</w:t>
            </w:r>
          </w:p>
        </w:tc>
        <w:tc>
          <w:tcPr>
            <w:tcW w:w="3313" w:type="dxa"/>
          </w:tcPr>
          <w:p w14:paraId="3520041C" w14:textId="0287F46A" w:rsidR="00AE5A88" w:rsidRDefault="00F532BE" w:rsidP="002B36BF">
            <w:pPr>
              <w:pStyle w:val="PTablebodytext"/>
              <w:keepNext/>
              <w:keepLines/>
            </w:pPr>
            <w:r w:rsidRPr="00F532BE">
              <w:t>Conduct load and stress testing of applications and APIs</w:t>
            </w:r>
          </w:p>
        </w:tc>
        <w:tc>
          <w:tcPr>
            <w:tcW w:w="2425" w:type="dxa"/>
          </w:tcPr>
          <w:p w14:paraId="284A8795" w14:textId="1DAC8680" w:rsidR="00AE5A88" w:rsidRDefault="00D26CEC" w:rsidP="002B36BF">
            <w:pPr>
              <w:pStyle w:val="PTablebodytext"/>
              <w:keepNext/>
              <w:keepLines/>
            </w:pPr>
            <w:r w:rsidRPr="00D26CEC">
              <w:t>JMeter, LoadRunner, Dynatrace</w:t>
            </w:r>
          </w:p>
        </w:tc>
        <w:tc>
          <w:tcPr>
            <w:tcW w:w="1907" w:type="dxa"/>
          </w:tcPr>
          <w:p w14:paraId="096019BC" w14:textId="74AFAD34" w:rsidR="00AE5A88" w:rsidRDefault="00736D6C" w:rsidP="00F3235F">
            <w:pPr>
              <w:pStyle w:val="PTablebodytext"/>
            </w:pPr>
            <w:r w:rsidRPr="00736D6C">
              <w:t>Performance Benchmark Reports</w:t>
            </w:r>
          </w:p>
        </w:tc>
      </w:tr>
      <w:tr w:rsidR="00AE5A88" w:rsidRPr="00A917BA" w14:paraId="35B91155" w14:textId="007FAFA2" w:rsidTr="002B36BF">
        <w:trPr>
          <w:cnfStyle w:val="000000100000" w:firstRow="0" w:lastRow="0" w:firstColumn="0" w:lastColumn="0" w:oddVBand="0" w:evenVBand="0" w:oddHBand="1" w:evenHBand="0" w:firstRowFirstColumn="0" w:firstRowLastColumn="0" w:lastRowFirstColumn="0" w:lastRowLastColumn="0"/>
        </w:trPr>
        <w:tc>
          <w:tcPr>
            <w:tcW w:w="1705" w:type="dxa"/>
            <w:shd w:val="clear" w:color="auto" w:fill="auto"/>
          </w:tcPr>
          <w:p w14:paraId="0BDA0D31" w14:textId="54DF4AE8" w:rsidR="00AE5A88" w:rsidRDefault="003E3CDC" w:rsidP="00F3235F">
            <w:pPr>
              <w:pStyle w:val="PTablebodytext"/>
            </w:pPr>
            <w:r w:rsidRPr="003E3CDC">
              <w:t>Security Testers</w:t>
            </w:r>
          </w:p>
        </w:tc>
        <w:tc>
          <w:tcPr>
            <w:tcW w:w="3313" w:type="dxa"/>
            <w:shd w:val="clear" w:color="auto" w:fill="auto"/>
          </w:tcPr>
          <w:p w14:paraId="4738B823" w14:textId="65C108F4" w:rsidR="00AE5A88" w:rsidRDefault="00BC2A4A" w:rsidP="00F3235F">
            <w:pPr>
              <w:pStyle w:val="PTablebodytext"/>
            </w:pPr>
            <w:r w:rsidRPr="00BC2A4A">
              <w:t>Validate security compliance and data protection</w:t>
            </w:r>
          </w:p>
        </w:tc>
        <w:tc>
          <w:tcPr>
            <w:tcW w:w="2425" w:type="dxa"/>
            <w:shd w:val="clear" w:color="auto" w:fill="auto"/>
          </w:tcPr>
          <w:p w14:paraId="65FCFE6A" w14:textId="07583ECF" w:rsidR="00AE5A88" w:rsidRDefault="008E2E6A" w:rsidP="00F3235F">
            <w:pPr>
              <w:pStyle w:val="PTablebodytext"/>
            </w:pPr>
            <w:r w:rsidRPr="008E2E6A">
              <w:t>OWASP ZAP, Burp Suite</w:t>
            </w:r>
          </w:p>
        </w:tc>
        <w:tc>
          <w:tcPr>
            <w:tcW w:w="1907" w:type="dxa"/>
            <w:shd w:val="clear" w:color="auto" w:fill="auto"/>
          </w:tcPr>
          <w:p w14:paraId="3D817C3E" w14:textId="677D47E1" w:rsidR="00AE5A88" w:rsidRDefault="003C7C08" w:rsidP="00F3235F">
            <w:pPr>
              <w:pStyle w:val="PTablebodytext"/>
            </w:pPr>
            <w:r w:rsidRPr="003C7C08">
              <w:t>Vulnerability Assessment Report</w:t>
            </w:r>
          </w:p>
        </w:tc>
      </w:tr>
      <w:tr w:rsidR="00EE58BE" w:rsidRPr="00A917BA" w14:paraId="062ECFE3" w14:textId="77777777" w:rsidTr="00F3235F">
        <w:tc>
          <w:tcPr>
            <w:tcW w:w="1705" w:type="dxa"/>
          </w:tcPr>
          <w:p w14:paraId="633394CF" w14:textId="01533B90" w:rsidR="00EE58BE" w:rsidRPr="003E3CDC" w:rsidRDefault="00341117" w:rsidP="00F3235F">
            <w:pPr>
              <w:pStyle w:val="PTablebodytext"/>
            </w:pPr>
            <w:r w:rsidRPr="00341117">
              <w:t>DevOps QA Engineers</w:t>
            </w:r>
          </w:p>
        </w:tc>
        <w:tc>
          <w:tcPr>
            <w:tcW w:w="3313" w:type="dxa"/>
          </w:tcPr>
          <w:p w14:paraId="4CE0AAD5" w14:textId="5A9AA5A9" w:rsidR="00EE58BE" w:rsidRPr="00BC2A4A" w:rsidRDefault="00654852" w:rsidP="00F3235F">
            <w:pPr>
              <w:pStyle w:val="PTablebodytext"/>
            </w:pPr>
            <w:r w:rsidRPr="00654852">
              <w:t>Integrate QA into CI/CD pipelines and monitoring</w:t>
            </w:r>
          </w:p>
        </w:tc>
        <w:tc>
          <w:tcPr>
            <w:tcW w:w="2425" w:type="dxa"/>
          </w:tcPr>
          <w:p w14:paraId="62067ADA" w14:textId="01DBBF5A" w:rsidR="00EE58BE" w:rsidRPr="008E2E6A" w:rsidRDefault="008111DC" w:rsidP="00F3235F">
            <w:pPr>
              <w:pStyle w:val="PTablebodytext"/>
            </w:pPr>
            <w:r w:rsidRPr="008111DC">
              <w:t>GitLab CI, SonarQube, Splunk</w:t>
            </w:r>
          </w:p>
        </w:tc>
        <w:tc>
          <w:tcPr>
            <w:tcW w:w="1907" w:type="dxa"/>
          </w:tcPr>
          <w:p w14:paraId="2DA3F65B" w14:textId="27060DCD" w:rsidR="00EE58BE" w:rsidRPr="003C7C08" w:rsidRDefault="008A69E6" w:rsidP="00F3235F">
            <w:pPr>
              <w:pStyle w:val="PTablebodytext"/>
            </w:pPr>
            <w:r w:rsidRPr="008A69E6">
              <w:t>CI/CD QA Integration Scripts</w:t>
            </w:r>
          </w:p>
        </w:tc>
      </w:tr>
      <w:tr w:rsidR="00A715CD" w:rsidRPr="00A917BA" w14:paraId="3F632CE9" w14:textId="77777777" w:rsidTr="002B36BF">
        <w:trPr>
          <w:cnfStyle w:val="000000100000" w:firstRow="0" w:lastRow="0" w:firstColumn="0" w:lastColumn="0" w:oddVBand="0" w:evenVBand="0" w:oddHBand="1" w:evenHBand="0" w:firstRowFirstColumn="0" w:firstRowLastColumn="0" w:lastRowFirstColumn="0" w:lastRowLastColumn="0"/>
        </w:trPr>
        <w:tc>
          <w:tcPr>
            <w:tcW w:w="1705" w:type="dxa"/>
            <w:shd w:val="clear" w:color="auto" w:fill="auto"/>
          </w:tcPr>
          <w:p w14:paraId="48850402" w14:textId="3AD7CAF0" w:rsidR="00A715CD" w:rsidRPr="00341117" w:rsidRDefault="00420150" w:rsidP="00F3235F">
            <w:pPr>
              <w:pStyle w:val="PTablebodytext"/>
            </w:pPr>
            <w:r w:rsidRPr="00420150">
              <w:t>Domain Experts</w:t>
            </w:r>
          </w:p>
        </w:tc>
        <w:tc>
          <w:tcPr>
            <w:tcW w:w="3313" w:type="dxa"/>
            <w:shd w:val="clear" w:color="auto" w:fill="auto"/>
          </w:tcPr>
          <w:p w14:paraId="31F7A222" w14:textId="014AB831" w:rsidR="00A715CD" w:rsidRPr="00654852" w:rsidRDefault="004C4718" w:rsidP="00F3235F">
            <w:pPr>
              <w:pStyle w:val="PTablebodytext"/>
            </w:pPr>
            <w:r w:rsidRPr="004C4718">
              <w:t>Validate business rules and legislative changes</w:t>
            </w:r>
          </w:p>
        </w:tc>
        <w:tc>
          <w:tcPr>
            <w:tcW w:w="2425" w:type="dxa"/>
            <w:shd w:val="clear" w:color="auto" w:fill="auto"/>
          </w:tcPr>
          <w:p w14:paraId="0413D14A" w14:textId="1515D9E3" w:rsidR="00A715CD" w:rsidRPr="008111DC" w:rsidRDefault="006B18EC" w:rsidP="00F3235F">
            <w:pPr>
              <w:pStyle w:val="PTablebodytext"/>
            </w:pPr>
            <w:r w:rsidRPr="006B18EC">
              <w:t>Policy Analysis, CalSAWS workflow expertise</w:t>
            </w:r>
          </w:p>
        </w:tc>
        <w:tc>
          <w:tcPr>
            <w:tcW w:w="1907" w:type="dxa"/>
            <w:shd w:val="clear" w:color="auto" w:fill="auto"/>
          </w:tcPr>
          <w:p w14:paraId="0750BCAF" w14:textId="0E202C09" w:rsidR="00A715CD" w:rsidRPr="008A69E6" w:rsidRDefault="0071262E" w:rsidP="00F3235F">
            <w:pPr>
              <w:pStyle w:val="PTablebodytext"/>
            </w:pPr>
            <w:r w:rsidRPr="0071262E">
              <w:t>Business Rule Validation Reports</w:t>
            </w:r>
          </w:p>
        </w:tc>
      </w:tr>
      <w:tr w:rsidR="000614ED" w:rsidRPr="00A917BA" w14:paraId="1DA5A5D8" w14:textId="77777777" w:rsidTr="00F3235F">
        <w:tc>
          <w:tcPr>
            <w:tcW w:w="1705" w:type="dxa"/>
          </w:tcPr>
          <w:p w14:paraId="1CA781CF" w14:textId="1B676A5A" w:rsidR="000614ED" w:rsidRPr="00420150" w:rsidRDefault="00221C8A" w:rsidP="00F3235F">
            <w:pPr>
              <w:pStyle w:val="PTablebodytext"/>
            </w:pPr>
            <w:r w:rsidRPr="00221C8A">
              <w:t>Innovation Champions</w:t>
            </w:r>
          </w:p>
        </w:tc>
        <w:tc>
          <w:tcPr>
            <w:tcW w:w="3313" w:type="dxa"/>
          </w:tcPr>
          <w:p w14:paraId="612B91ED" w14:textId="176C97BB" w:rsidR="000614ED" w:rsidRPr="004C4718" w:rsidRDefault="00D609AC" w:rsidP="00F3235F">
            <w:pPr>
              <w:pStyle w:val="PTablebodytext"/>
            </w:pPr>
            <w:r w:rsidRPr="00D609AC">
              <w:t>Research and introduce new QA technologies and methods</w:t>
            </w:r>
          </w:p>
        </w:tc>
        <w:tc>
          <w:tcPr>
            <w:tcW w:w="2425" w:type="dxa"/>
          </w:tcPr>
          <w:p w14:paraId="5F8A25FC" w14:textId="2FBC3A89" w:rsidR="000614ED" w:rsidRPr="006B18EC" w:rsidRDefault="00632471" w:rsidP="00F3235F">
            <w:pPr>
              <w:pStyle w:val="PTablebodytext"/>
            </w:pPr>
            <w:r w:rsidRPr="00632471">
              <w:t>AI/ML in QA, Cloud-Native testing</w:t>
            </w:r>
          </w:p>
        </w:tc>
        <w:tc>
          <w:tcPr>
            <w:tcW w:w="1907" w:type="dxa"/>
          </w:tcPr>
          <w:p w14:paraId="51E01C2C" w14:textId="503552B7" w:rsidR="000614ED" w:rsidRPr="0071262E" w:rsidRDefault="0029364A" w:rsidP="00F3235F">
            <w:pPr>
              <w:pStyle w:val="PTablebodytext"/>
            </w:pPr>
            <w:r w:rsidRPr="0029364A">
              <w:t>Innovation POCs and Tool Evaluations</w:t>
            </w:r>
          </w:p>
        </w:tc>
      </w:tr>
    </w:tbl>
    <w:p w14:paraId="4CAA98DF" w14:textId="1C1FDCCD" w:rsidR="00F53821" w:rsidRPr="00E030E8" w:rsidRDefault="00F53821" w:rsidP="009E5AAC">
      <w:pPr>
        <w:pStyle w:val="PSubheading3"/>
        <w:numPr>
          <w:ilvl w:val="2"/>
          <w:numId w:val="11"/>
        </w:numPr>
      </w:pPr>
      <w:bookmarkStart w:id="126" w:name="_Toc211632737"/>
      <w:bookmarkStart w:id="127" w:name="_Toc212236361"/>
      <w:bookmarkStart w:id="128" w:name="_Toc209082419"/>
      <w:r w:rsidRPr="00E030E8">
        <w:t>Accountability Framework</w:t>
      </w:r>
      <w:bookmarkEnd w:id="126"/>
      <w:bookmarkEnd w:id="127"/>
    </w:p>
    <w:p w14:paraId="47B78D09" w14:textId="77777777" w:rsidR="00F53821" w:rsidRPr="00F5538A" w:rsidRDefault="00F53821" w:rsidP="00E030E8">
      <w:pPr>
        <w:pStyle w:val="PBodytext"/>
      </w:pPr>
      <w:r w:rsidRPr="00F5538A">
        <w:t>Each QA resource’s performance is evaluated through defined KPIs such as:</w:t>
      </w:r>
    </w:p>
    <w:p w14:paraId="67AA6CEE" w14:textId="77777777" w:rsidR="00F53821" w:rsidRPr="00F5538A" w:rsidRDefault="00F53821" w:rsidP="00E030E8">
      <w:pPr>
        <w:pStyle w:val="PBulletlevel1"/>
      </w:pPr>
      <w:r w:rsidRPr="00F5538A">
        <w:t>Defect Detection Effectiveness (DDE)</w:t>
      </w:r>
    </w:p>
    <w:p w14:paraId="1021DE6D" w14:textId="77777777" w:rsidR="00F53821" w:rsidRPr="00F5538A" w:rsidRDefault="00F53821" w:rsidP="00E030E8">
      <w:pPr>
        <w:pStyle w:val="PBulletlevel1"/>
      </w:pPr>
      <w:r w:rsidRPr="00F5538A">
        <w:t>Test Case Coverage Ratio</w:t>
      </w:r>
    </w:p>
    <w:p w14:paraId="7E5EA7A7" w14:textId="77777777" w:rsidR="00F53821" w:rsidRPr="00F5538A" w:rsidRDefault="00F53821" w:rsidP="00E030E8">
      <w:pPr>
        <w:pStyle w:val="PBulletlevel1"/>
      </w:pPr>
      <w:r w:rsidRPr="00F5538A">
        <w:t>Automation Efficiency (ROI from automation reuse)</w:t>
      </w:r>
    </w:p>
    <w:p w14:paraId="1052AA61" w14:textId="77777777" w:rsidR="00F53821" w:rsidRPr="00F5538A" w:rsidRDefault="00F53821" w:rsidP="00E030E8">
      <w:pPr>
        <w:pStyle w:val="PBulletlevel1"/>
      </w:pPr>
      <w:r w:rsidRPr="00F5538A">
        <w:t>Cycle Time Reduction %</w:t>
      </w:r>
    </w:p>
    <w:p w14:paraId="4E5F16B1" w14:textId="77777777" w:rsidR="00F53821" w:rsidRPr="00F5538A" w:rsidRDefault="00F53821" w:rsidP="00E030E8">
      <w:pPr>
        <w:pStyle w:val="PBulletlevel1"/>
      </w:pPr>
      <w:r w:rsidRPr="00F5538A">
        <w:t>Stakeholder Satisfaction Index</w:t>
      </w:r>
    </w:p>
    <w:p w14:paraId="2906E88A" w14:textId="77777777" w:rsidR="00767A7E" w:rsidRDefault="00F53821" w:rsidP="00E030E8">
      <w:pPr>
        <w:pStyle w:val="PBodytext"/>
      </w:pPr>
      <w:r w:rsidRPr="00F5538A">
        <w:t>The QA Project Manager consolidates KPI data into monthly performance dashboards submitted to the CalSAWS QA Director.</w:t>
      </w:r>
    </w:p>
    <w:p w14:paraId="30F65AC5" w14:textId="5C2F98D4" w:rsidR="00F53821" w:rsidRPr="00F5538A" w:rsidRDefault="00F53821" w:rsidP="00E030E8">
      <w:pPr>
        <w:pStyle w:val="PBodytext"/>
      </w:pPr>
      <w:r w:rsidRPr="00F5538A">
        <w:t>Performance reviews are conducted quarterly and feed into Continuous Improvement Plans (CIPs).</w:t>
      </w:r>
    </w:p>
    <w:p w14:paraId="39406E0F" w14:textId="181E0183" w:rsidR="00F53821" w:rsidRPr="00E030E8" w:rsidRDefault="00F53821" w:rsidP="009E5AAC">
      <w:pPr>
        <w:pStyle w:val="PSubheading3"/>
        <w:numPr>
          <w:ilvl w:val="2"/>
          <w:numId w:val="11"/>
        </w:numPr>
      </w:pPr>
      <w:bookmarkStart w:id="129" w:name="_Toc211632738"/>
      <w:bookmarkStart w:id="130" w:name="_Toc212236362"/>
      <w:r w:rsidRPr="00E030E8">
        <w:t>Communication and Coordination</w:t>
      </w:r>
      <w:bookmarkEnd w:id="129"/>
      <w:bookmarkEnd w:id="130"/>
    </w:p>
    <w:p w14:paraId="77CB192D" w14:textId="77777777" w:rsidR="00F53821" w:rsidRPr="00F5538A" w:rsidRDefault="00F53821" w:rsidP="00E030E8">
      <w:pPr>
        <w:pStyle w:val="PBodytext"/>
      </w:pPr>
      <w:r w:rsidRPr="00F5538A">
        <w:t xml:space="preserve">Communication among QA teams and external stakeholders follows a </w:t>
      </w:r>
      <w:r w:rsidRPr="00F5538A">
        <w:rPr>
          <w:b/>
          <w:bCs/>
        </w:rPr>
        <w:t>multi-channel model</w:t>
      </w:r>
      <w:r w:rsidRPr="00F5538A">
        <w:t>:</w:t>
      </w:r>
    </w:p>
    <w:p w14:paraId="4591CA7C" w14:textId="6926661E" w:rsidR="00F53821" w:rsidRPr="00F5538A" w:rsidRDefault="00F53821" w:rsidP="00E030E8">
      <w:pPr>
        <w:pStyle w:val="PBulletlevel1"/>
      </w:pPr>
      <w:r w:rsidRPr="00F5538A">
        <w:rPr>
          <w:b/>
          <w:bCs/>
        </w:rPr>
        <w:t>Operational:</w:t>
      </w:r>
      <w:r w:rsidRPr="00F5538A">
        <w:t xml:space="preserve"> Daily stand-ups, </w:t>
      </w:r>
      <w:r w:rsidR="00CF4C08">
        <w:t>bugs</w:t>
      </w:r>
      <w:r w:rsidRPr="00F5538A">
        <w:t xml:space="preserve"> triage calls.</w:t>
      </w:r>
    </w:p>
    <w:p w14:paraId="0511C9B2" w14:textId="77777777" w:rsidR="00F53821" w:rsidRPr="00F5538A" w:rsidRDefault="00F53821" w:rsidP="00E030E8">
      <w:pPr>
        <w:pStyle w:val="PBulletlevel1"/>
      </w:pPr>
      <w:r w:rsidRPr="00F5538A">
        <w:rPr>
          <w:b/>
          <w:bCs/>
        </w:rPr>
        <w:t>Tactical:</w:t>
      </w:r>
      <w:r w:rsidRPr="00F5538A">
        <w:t xml:space="preserve"> Weekly QA Status Meetings with development and vendor teams.</w:t>
      </w:r>
    </w:p>
    <w:p w14:paraId="47C7CE7E" w14:textId="77777777" w:rsidR="00EA77AD" w:rsidRDefault="00F53821" w:rsidP="00E030E8">
      <w:pPr>
        <w:pStyle w:val="PBulletlevel1"/>
      </w:pPr>
      <w:r w:rsidRPr="00F5538A">
        <w:rPr>
          <w:b/>
          <w:bCs/>
        </w:rPr>
        <w:t>Strategic:</w:t>
      </w:r>
      <w:r w:rsidRPr="00F5538A">
        <w:t xml:space="preserve"> Monthly Steering Committee Reviews with Consortium leadership.</w:t>
      </w:r>
    </w:p>
    <w:p w14:paraId="1673728E" w14:textId="61711F4C" w:rsidR="00F53821" w:rsidRPr="00F5538A" w:rsidRDefault="00F53821" w:rsidP="00043827">
      <w:pPr>
        <w:pStyle w:val="PBodytext"/>
      </w:pPr>
      <w:r w:rsidRPr="00F5538A">
        <w:t xml:space="preserve">All decisions, actions, and risks are documented in </w:t>
      </w:r>
      <w:r w:rsidR="00CF4C08">
        <w:t xml:space="preserve">SharePoint </w:t>
      </w:r>
      <w:r w:rsidRPr="00F5538A">
        <w:t>and archived within the QA Knowledge Repository.</w:t>
      </w:r>
    </w:p>
    <w:p w14:paraId="487A6999" w14:textId="7CFC1AD5" w:rsidR="00F53821" w:rsidRPr="00043827" w:rsidRDefault="00F53821" w:rsidP="00C22EE1">
      <w:pPr>
        <w:pStyle w:val="PSubheading3"/>
      </w:pPr>
      <w:bookmarkStart w:id="131" w:name="_Toc211632739"/>
      <w:bookmarkStart w:id="132" w:name="_Toc212236363"/>
      <w:r w:rsidRPr="00043827">
        <w:t>Staff Workload and Availability</w:t>
      </w:r>
      <w:bookmarkEnd w:id="131"/>
      <w:bookmarkEnd w:id="132"/>
    </w:p>
    <w:p w14:paraId="39500A5E" w14:textId="77777777" w:rsidR="00EF23FE" w:rsidRDefault="00F53821" w:rsidP="00043827">
      <w:pPr>
        <w:pStyle w:val="PBodytext"/>
      </w:pPr>
      <w:r w:rsidRPr="00F5538A">
        <w:t xml:space="preserve">Quadrant ensures workload balance using an internal </w:t>
      </w:r>
      <w:r w:rsidRPr="00F5538A">
        <w:rPr>
          <w:b/>
          <w:bCs/>
        </w:rPr>
        <w:t>Resource Management Tool</w:t>
      </w:r>
      <w:r w:rsidRPr="00F5538A">
        <w:t xml:space="preserve"> that monitors capacity utilization in real time.</w:t>
      </w:r>
    </w:p>
    <w:p w14:paraId="48B293C5" w14:textId="77777777" w:rsidR="00EF23FE" w:rsidRDefault="00F53821" w:rsidP="00043827">
      <w:pPr>
        <w:pStyle w:val="PBodytext"/>
      </w:pPr>
      <w:r w:rsidRPr="00F5538A">
        <w:t xml:space="preserve">Each team maintains at least </w:t>
      </w:r>
      <w:r w:rsidRPr="00F5538A">
        <w:rPr>
          <w:b/>
          <w:bCs/>
        </w:rPr>
        <w:t>15 % buffer capacity</w:t>
      </w:r>
      <w:r w:rsidRPr="00F5538A">
        <w:t xml:space="preserve"> to accommodate ad-hoc tasks and urgent releases.</w:t>
      </w:r>
    </w:p>
    <w:p w14:paraId="1B31F437" w14:textId="20BC12F4" w:rsidR="00F53821" w:rsidRPr="00F5538A" w:rsidRDefault="00F53821" w:rsidP="00043827">
      <w:pPr>
        <w:pStyle w:val="PBodytext"/>
      </w:pPr>
      <w:r w:rsidRPr="00F5538A">
        <w:lastRenderedPageBreak/>
        <w:t>Resource availability plans shared quarterly with the Consortium for review and adjustment.</w:t>
      </w:r>
    </w:p>
    <w:p w14:paraId="58C1EE4C" w14:textId="374415BE" w:rsidR="00F53821" w:rsidRPr="00043827" w:rsidRDefault="00F53821" w:rsidP="009E5AAC">
      <w:pPr>
        <w:pStyle w:val="PSubheading3"/>
        <w:numPr>
          <w:ilvl w:val="2"/>
          <w:numId w:val="11"/>
        </w:numPr>
      </w:pPr>
      <w:bookmarkStart w:id="133" w:name="_Toc211632740"/>
      <w:bookmarkStart w:id="134" w:name="_Toc212236364"/>
      <w:r w:rsidRPr="00043827">
        <w:t>Cross-Training and Skill Development</w:t>
      </w:r>
      <w:bookmarkEnd w:id="133"/>
      <w:bookmarkEnd w:id="134"/>
    </w:p>
    <w:p w14:paraId="22DFCECD" w14:textId="77777777" w:rsidR="00F53821" w:rsidRPr="00F5538A" w:rsidRDefault="00F53821" w:rsidP="00043827">
      <w:pPr>
        <w:pStyle w:val="PBodytext"/>
      </w:pPr>
      <w:r w:rsidRPr="00F5538A">
        <w:t>To maintain continuity and reduce dependency risks, Quadrant implements a structured cross-training program:</w:t>
      </w:r>
    </w:p>
    <w:p w14:paraId="7F0D453E" w14:textId="6A2FE558" w:rsidR="00F53821" w:rsidRPr="00F5538A" w:rsidRDefault="00F53821" w:rsidP="005F7AE5">
      <w:pPr>
        <w:pStyle w:val="PNumberlevel1"/>
        <w:numPr>
          <w:ilvl w:val="0"/>
          <w:numId w:val="15"/>
        </w:numPr>
      </w:pPr>
      <w:r w:rsidRPr="004F1365">
        <w:rPr>
          <w:b/>
          <w:bCs/>
        </w:rPr>
        <w:t>Skill Matrix Mapping:</w:t>
      </w:r>
      <w:r w:rsidRPr="00F5538A">
        <w:t xml:space="preserve"> Every staff member’s primary and secondary skills tracked </w:t>
      </w:r>
      <w:r w:rsidR="00CF4C08" w:rsidRPr="00F5538A">
        <w:t>on</w:t>
      </w:r>
      <w:r w:rsidRPr="00F5538A">
        <w:t xml:space="preserve"> the QA Competency Dashboard.</w:t>
      </w:r>
    </w:p>
    <w:p w14:paraId="3B265342" w14:textId="77777777" w:rsidR="00F53821" w:rsidRPr="00F5538A" w:rsidRDefault="00F53821" w:rsidP="005F7AE5">
      <w:pPr>
        <w:pStyle w:val="PNumberlevel1"/>
        <w:numPr>
          <w:ilvl w:val="0"/>
          <w:numId w:val="15"/>
        </w:numPr>
      </w:pPr>
      <w:r w:rsidRPr="004F1365">
        <w:rPr>
          <w:b/>
          <w:bCs/>
        </w:rPr>
        <w:t>Pairing Methodology:</w:t>
      </w:r>
      <w:r w:rsidRPr="00F5538A">
        <w:t xml:space="preserve"> Junior resources shadow senior team members during critical testing phases.</w:t>
      </w:r>
    </w:p>
    <w:p w14:paraId="4854EF01" w14:textId="77777777" w:rsidR="00F53821" w:rsidRPr="00F5538A" w:rsidRDefault="00F53821" w:rsidP="005F7AE5">
      <w:pPr>
        <w:pStyle w:val="PNumberlevel1"/>
        <w:numPr>
          <w:ilvl w:val="0"/>
          <w:numId w:val="15"/>
        </w:numPr>
      </w:pPr>
      <w:r w:rsidRPr="004F1365">
        <w:rPr>
          <w:b/>
          <w:bCs/>
        </w:rPr>
        <w:t>Quarterly Learning Sessions:</w:t>
      </w:r>
      <w:r w:rsidRPr="00F5538A">
        <w:t xml:space="preserve"> Led by subject-matter experts on emerging QA tools and methodologies.</w:t>
      </w:r>
    </w:p>
    <w:p w14:paraId="7D61E602" w14:textId="77777777" w:rsidR="00F53821" w:rsidRPr="00F5538A" w:rsidRDefault="00F53821" w:rsidP="005F7AE5">
      <w:pPr>
        <w:pStyle w:val="PNumberlevel1"/>
        <w:numPr>
          <w:ilvl w:val="0"/>
          <w:numId w:val="15"/>
        </w:numPr>
      </w:pPr>
      <w:r w:rsidRPr="004F1365">
        <w:rPr>
          <w:b/>
          <w:bCs/>
        </w:rPr>
        <w:t>Certification Encouragement:</w:t>
      </w:r>
      <w:r w:rsidRPr="00F5538A">
        <w:t xml:space="preserve"> Quadrant funds training for ISTQB, PMP, and Azure certifications for CalSAWS-assigned staff.</w:t>
      </w:r>
    </w:p>
    <w:p w14:paraId="37669756" w14:textId="3961544D" w:rsidR="00F53821" w:rsidRPr="004F1365" w:rsidRDefault="00F53821" w:rsidP="009E5AAC">
      <w:pPr>
        <w:pStyle w:val="PSubheading3"/>
        <w:numPr>
          <w:ilvl w:val="2"/>
          <w:numId w:val="11"/>
        </w:numPr>
      </w:pPr>
      <w:bookmarkStart w:id="135" w:name="_Toc211632741"/>
      <w:bookmarkStart w:id="136" w:name="_Toc212236365"/>
      <w:r w:rsidRPr="004F1365">
        <w:t>Workforce Diversity and Inclusion</w:t>
      </w:r>
      <w:bookmarkEnd w:id="135"/>
      <w:bookmarkEnd w:id="136"/>
    </w:p>
    <w:p w14:paraId="37BE47FC" w14:textId="77777777" w:rsidR="001E09DF" w:rsidRDefault="00F53821" w:rsidP="004F1365">
      <w:pPr>
        <w:pStyle w:val="PBodytext"/>
      </w:pPr>
      <w:r w:rsidRPr="00F5538A">
        <w:t>Quadrant promotes a diverse workforce with equitable opportunities for growth. Teams include professionals with varied technical, geographical, and cultural backgrounds to foster innovation and collaboration.</w:t>
      </w:r>
    </w:p>
    <w:p w14:paraId="75C87E61" w14:textId="2A41C20D" w:rsidR="00F53821" w:rsidRPr="00F5538A" w:rsidRDefault="00F53821" w:rsidP="004F1365">
      <w:pPr>
        <w:pStyle w:val="PBodytext"/>
      </w:pPr>
      <w:r w:rsidRPr="00F5538A">
        <w:t xml:space="preserve">This diversity directly supports </w:t>
      </w:r>
      <w:proofErr w:type="spellStart"/>
      <w:r w:rsidRPr="00F5538A">
        <w:t>CalSAWS’s</w:t>
      </w:r>
      <w:proofErr w:type="spellEnd"/>
      <w:r w:rsidRPr="00F5538A">
        <w:t xml:space="preserve"> values of inclusivity and community representation.</w:t>
      </w:r>
    </w:p>
    <w:p w14:paraId="08EE95F1" w14:textId="62415A20" w:rsidR="00F53821" w:rsidRPr="004F1365" w:rsidRDefault="00F53821" w:rsidP="009E5AAC">
      <w:pPr>
        <w:pStyle w:val="PSubheading3"/>
        <w:numPr>
          <w:ilvl w:val="2"/>
          <w:numId w:val="11"/>
        </w:numPr>
      </w:pPr>
      <w:bookmarkStart w:id="137" w:name="_Toc211632742"/>
      <w:bookmarkStart w:id="138" w:name="_Toc212236366"/>
      <w:r w:rsidRPr="004F1365">
        <w:t>Quality of Work Life</w:t>
      </w:r>
      <w:bookmarkEnd w:id="137"/>
      <w:bookmarkEnd w:id="138"/>
    </w:p>
    <w:p w14:paraId="1D607F32" w14:textId="77777777" w:rsidR="007C4F33" w:rsidRDefault="00F53821" w:rsidP="004F1365">
      <w:pPr>
        <w:pStyle w:val="PBodytext"/>
      </w:pPr>
      <w:r w:rsidRPr="00F5538A">
        <w:t>Quadrant recognizes that staff retention and morale are critical for continuity and productivity. Flexible working models, recognition programs, and professional development opportunities are integral to our HR strategy.</w:t>
      </w:r>
    </w:p>
    <w:p w14:paraId="6D3C5EE5" w14:textId="4A7E3E7B" w:rsidR="00057C4C" w:rsidRDefault="00F53821" w:rsidP="00F52846">
      <w:pPr>
        <w:pStyle w:val="PBodytext"/>
      </w:pPr>
      <w:r w:rsidRPr="00F5538A">
        <w:t>Staff engagement surveys conducted semi-annually to gauge satisfaction and identify areas for improvement.</w:t>
      </w:r>
    </w:p>
    <w:p w14:paraId="3191BC46" w14:textId="2C3D1903" w:rsidR="007C24E8" w:rsidRPr="004F1365" w:rsidRDefault="009E5AAC" w:rsidP="00C22EE1">
      <w:pPr>
        <w:pStyle w:val="PSubheading3"/>
      </w:pPr>
      <w:bookmarkStart w:id="139" w:name="_Toc209082420"/>
      <w:bookmarkEnd w:id="128"/>
      <w:r>
        <w:t>Staff Changes</w:t>
      </w:r>
    </w:p>
    <w:p w14:paraId="3EF093E9" w14:textId="77777777" w:rsidR="007C24E8" w:rsidRPr="004F1365" w:rsidRDefault="007C24E8" w:rsidP="004F1365">
      <w:pPr>
        <w:pStyle w:val="PBodytext"/>
      </w:pPr>
      <w:r w:rsidRPr="004F1365">
        <w:t>Staff changes are an inevitable aspect of multi-year programs. Quadrant has established robust processes to manage expected and unexpected transitions without impacting service delivery or QA independence.</w:t>
      </w:r>
    </w:p>
    <w:p w14:paraId="4466E377" w14:textId="6BE248CB" w:rsidR="007C24E8" w:rsidRPr="008F2F97" w:rsidRDefault="007C24E8" w:rsidP="009E5AAC">
      <w:pPr>
        <w:pStyle w:val="PSubheading3"/>
        <w:numPr>
          <w:ilvl w:val="2"/>
          <w:numId w:val="11"/>
        </w:numPr>
      </w:pPr>
      <w:bookmarkStart w:id="140" w:name="_Toc211632745"/>
      <w:bookmarkStart w:id="141" w:name="_Toc212236369"/>
      <w:r w:rsidRPr="008F2F97">
        <w:t>Expected Changes</w:t>
      </w:r>
      <w:bookmarkEnd w:id="140"/>
      <w:bookmarkEnd w:id="141"/>
    </w:p>
    <w:p w14:paraId="3A311A62" w14:textId="77777777" w:rsidR="007C24E8" w:rsidRPr="004F1365" w:rsidRDefault="007C24E8" w:rsidP="004F1365">
      <w:pPr>
        <w:pStyle w:val="PBodytext"/>
      </w:pPr>
      <w:r w:rsidRPr="004F1365">
        <w:t>Expected staff changes occur as part of planned rotations or career progression. In these cases, Quadrant shall:</w:t>
      </w:r>
    </w:p>
    <w:p w14:paraId="08CDE664" w14:textId="77777777" w:rsidR="007C24E8" w:rsidRPr="006F56DD" w:rsidRDefault="007C24E8" w:rsidP="005F7AE5">
      <w:pPr>
        <w:pStyle w:val="PNumberlevel1"/>
        <w:numPr>
          <w:ilvl w:val="0"/>
          <w:numId w:val="16"/>
        </w:numPr>
      </w:pPr>
      <w:r w:rsidRPr="00F5538A">
        <w:t xml:space="preserve">Provide a minimum of </w:t>
      </w:r>
      <w:r w:rsidRPr="006F56DD">
        <w:t>30-day advance notice to the Consortium.</w:t>
      </w:r>
    </w:p>
    <w:p w14:paraId="5E0C3410" w14:textId="77777777" w:rsidR="007C24E8" w:rsidRPr="006F56DD" w:rsidRDefault="007C24E8" w:rsidP="005F7AE5">
      <w:pPr>
        <w:pStyle w:val="PNumberlevel1"/>
        <w:numPr>
          <w:ilvl w:val="0"/>
          <w:numId w:val="16"/>
        </w:numPr>
      </w:pPr>
      <w:r w:rsidRPr="006F56DD">
        <w:t>Submit at least two qualified replacement resumes and two references for review.</w:t>
      </w:r>
    </w:p>
    <w:p w14:paraId="15362A53" w14:textId="3AAD9649" w:rsidR="007C24E8" w:rsidRPr="006F56DD" w:rsidRDefault="007C24E8" w:rsidP="005F7AE5">
      <w:pPr>
        <w:pStyle w:val="PNumberlevel1"/>
        <w:numPr>
          <w:ilvl w:val="0"/>
          <w:numId w:val="16"/>
        </w:numPr>
      </w:pPr>
      <w:r w:rsidRPr="006F56DD">
        <w:t xml:space="preserve">Ensure a minimum of </w:t>
      </w:r>
      <w:r w:rsidR="006F56DD" w:rsidRPr="006F56DD">
        <w:t>two weeks</w:t>
      </w:r>
      <w:r w:rsidRPr="006F56DD">
        <w:t xml:space="preserve"> knowledge-transfer overlap between outgoing and incoming resources.</w:t>
      </w:r>
    </w:p>
    <w:p w14:paraId="5A0263D4" w14:textId="77777777" w:rsidR="007C24E8" w:rsidRPr="006F56DD" w:rsidRDefault="007C24E8" w:rsidP="005F7AE5">
      <w:pPr>
        <w:pStyle w:val="PNumberlevel1"/>
        <w:numPr>
          <w:ilvl w:val="0"/>
          <w:numId w:val="16"/>
        </w:numPr>
      </w:pPr>
      <w:r w:rsidRPr="006F56DD">
        <w:t>Document transition activities in the Staff Transition Plan.</w:t>
      </w:r>
    </w:p>
    <w:p w14:paraId="684347E8" w14:textId="4F59542F" w:rsidR="007C24E8" w:rsidRPr="000D7072" w:rsidRDefault="007C24E8" w:rsidP="009E5AAC">
      <w:pPr>
        <w:pStyle w:val="PSubheading3"/>
        <w:numPr>
          <w:ilvl w:val="2"/>
          <w:numId w:val="11"/>
        </w:numPr>
      </w:pPr>
      <w:bookmarkStart w:id="142" w:name="_Toc211632746"/>
      <w:bookmarkStart w:id="143" w:name="_Toc212236370"/>
      <w:r w:rsidRPr="000D7072">
        <w:lastRenderedPageBreak/>
        <w:t>Unexpected Changes</w:t>
      </w:r>
      <w:bookmarkEnd w:id="142"/>
      <w:bookmarkEnd w:id="143"/>
    </w:p>
    <w:p w14:paraId="782A7AE0" w14:textId="77777777" w:rsidR="007C24E8" w:rsidRPr="00F5538A" w:rsidRDefault="007C24E8" w:rsidP="000D7072">
      <w:pPr>
        <w:pStyle w:val="PBodytext"/>
      </w:pPr>
      <w:r w:rsidRPr="00F5538A">
        <w:t>For unforeseen departures (resignation, illness, etc.), Quadrant shall:</w:t>
      </w:r>
    </w:p>
    <w:p w14:paraId="10B8DD49" w14:textId="77777777" w:rsidR="007C24E8" w:rsidRPr="000C378A" w:rsidRDefault="007C24E8" w:rsidP="000D7072">
      <w:pPr>
        <w:pStyle w:val="PBulletlevel1"/>
      </w:pPr>
      <w:r w:rsidRPr="00F5538A">
        <w:t xml:space="preserve">Notify the </w:t>
      </w:r>
      <w:r w:rsidRPr="000C378A">
        <w:t>Consortium within three business days.</w:t>
      </w:r>
    </w:p>
    <w:p w14:paraId="1F0E0161" w14:textId="77777777" w:rsidR="007C24E8" w:rsidRPr="000C378A" w:rsidRDefault="007C24E8" w:rsidP="000D7072">
      <w:pPr>
        <w:pStyle w:val="PBulletlevel1"/>
      </w:pPr>
      <w:r w:rsidRPr="000C378A">
        <w:t>Submit a replacement candidate within seven calendar days.</w:t>
      </w:r>
    </w:p>
    <w:p w14:paraId="7757A121" w14:textId="77777777" w:rsidR="007C24E8" w:rsidRPr="000C378A" w:rsidRDefault="007C24E8" w:rsidP="000D7072">
      <w:pPr>
        <w:pStyle w:val="PBulletlevel1"/>
      </w:pPr>
      <w:r w:rsidRPr="000C378A">
        <w:t>Execute a seven-day knowledge handover process led by the QA Project Manager.</w:t>
      </w:r>
    </w:p>
    <w:p w14:paraId="77CD6659" w14:textId="77777777" w:rsidR="007C24E8" w:rsidRPr="00F5538A" w:rsidRDefault="007C24E8" w:rsidP="000D7072">
      <w:pPr>
        <w:pStyle w:val="PBulletlevel1"/>
      </w:pPr>
      <w:r w:rsidRPr="000C378A">
        <w:t>Provide a mitigation summary report identifying root</w:t>
      </w:r>
      <w:r w:rsidRPr="00F5538A">
        <w:t xml:space="preserve"> causes and preventive measures.</w:t>
      </w:r>
    </w:p>
    <w:p w14:paraId="1DDC4BCF" w14:textId="77777777" w:rsidR="007C24E8" w:rsidRPr="00F5538A" w:rsidRDefault="007C24E8" w:rsidP="000D7072">
      <w:pPr>
        <w:pStyle w:val="PBodytext"/>
      </w:pPr>
      <w:r w:rsidRPr="00F5538A">
        <w:t>All replacement resources must be approved by the Consortium before assignment.</w:t>
      </w:r>
    </w:p>
    <w:p w14:paraId="068E0165" w14:textId="3D2F5EB7" w:rsidR="007C24E8" w:rsidRPr="007C26A4" w:rsidRDefault="007C24E8" w:rsidP="009E5AAC">
      <w:pPr>
        <w:pStyle w:val="PSubheading3"/>
        <w:numPr>
          <w:ilvl w:val="2"/>
          <w:numId w:val="11"/>
        </w:numPr>
      </w:pPr>
      <w:bookmarkStart w:id="144" w:name="_Toc211632747"/>
      <w:bookmarkStart w:id="145" w:name="_Toc212236371"/>
      <w:r w:rsidRPr="007C26A4">
        <w:t>Continuity Planning</w:t>
      </w:r>
      <w:bookmarkEnd w:id="144"/>
      <w:bookmarkEnd w:id="145"/>
    </w:p>
    <w:p w14:paraId="6D57B7FB" w14:textId="77777777" w:rsidR="0033550A" w:rsidRDefault="007C24E8" w:rsidP="007C26A4">
      <w:pPr>
        <w:pStyle w:val="PBodytext"/>
      </w:pPr>
      <w:r w:rsidRPr="00F5538A">
        <w:t>Quadrant maintains a dedicated bench of pre-screened QA professionals with current state background checks and CalSAWS domain orientation.</w:t>
      </w:r>
    </w:p>
    <w:p w14:paraId="4E35BC27" w14:textId="77777777" w:rsidR="0033550A" w:rsidRDefault="007C24E8" w:rsidP="007C26A4">
      <w:pPr>
        <w:pStyle w:val="PBodytext"/>
      </w:pPr>
      <w:r w:rsidRPr="00F5538A">
        <w:t>The bench includes resources for each critical skill area—automation, functional, performance, and security.</w:t>
      </w:r>
    </w:p>
    <w:p w14:paraId="10D84142" w14:textId="2208FF45" w:rsidR="007C24E8" w:rsidRPr="00F5538A" w:rsidRDefault="007C24E8" w:rsidP="007C26A4">
      <w:pPr>
        <w:pStyle w:val="PBodytext"/>
      </w:pPr>
      <w:r w:rsidRPr="00F5538A">
        <w:t xml:space="preserve">A </w:t>
      </w:r>
      <w:r w:rsidRPr="00F5538A">
        <w:rPr>
          <w:b/>
          <w:bCs/>
        </w:rPr>
        <w:t>Continuity Register</w:t>
      </w:r>
      <w:r w:rsidRPr="00F5538A">
        <w:t xml:space="preserve"> tracks each potential backup’s availability and training status.</w:t>
      </w:r>
    </w:p>
    <w:p w14:paraId="2EDBB990" w14:textId="4EB99001" w:rsidR="007C24E8" w:rsidRPr="007C26A4" w:rsidRDefault="007C24E8" w:rsidP="009E5AAC">
      <w:pPr>
        <w:pStyle w:val="PSubheading3"/>
        <w:numPr>
          <w:ilvl w:val="2"/>
          <w:numId w:val="11"/>
        </w:numPr>
      </w:pPr>
      <w:bookmarkStart w:id="146" w:name="_Toc211632748"/>
      <w:bookmarkStart w:id="147" w:name="_Toc212236372"/>
      <w:r w:rsidRPr="007C26A4">
        <w:t>Knowledge Transfer Procedures</w:t>
      </w:r>
      <w:bookmarkEnd w:id="146"/>
      <w:bookmarkEnd w:id="147"/>
    </w:p>
    <w:p w14:paraId="3E6A8B2D" w14:textId="77777777" w:rsidR="007C24E8" w:rsidRPr="00F5538A" w:rsidRDefault="007C24E8" w:rsidP="007C26A4">
      <w:pPr>
        <w:pStyle w:val="PBodytext"/>
      </w:pPr>
      <w:r w:rsidRPr="00F5538A">
        <w:t>To minimize transition risk, Quadrant implements a standardized knowledge transfer framework consisting of:</w:t>
      </w:r>
    </w:p>
    <w:p w14:paraId="186A0A3A" w14:textId="77777777" w:rsidR="007C24E8" w:rsidRPr="00F5538A" w:rsidRDefault="007C24E8" w:rsidP="007C26A4">
      <w:pPr>
        <w:pStyle w:val="PBulletlevel1"/>
      </w:pPr>
      <w:r w:rsidRPr="00F5538A">
        <w:rPr>
          <w:b/>
          <w:bCs/>
        </w:rPr>
        <w:t>Structured Handover Templates:</w:t>
      </w:r>
      <w:r w:rsidRPr="00F5538A">
        <w:t xml:space="preserve"> Document project status, test coverage, and open defects.</w:t>
      </w:r>
    </w:p>
    <w:p w14:paraId="3717147C" w14:textId="77777777" w:rsidR="007C24E8" w:rsidRPr="00F5538A" w:rsidRDefault="007C24E8" w:rsidP="007C26A4">
      <w:pPr>
        <w:pStyle w:val="PBulletlevel1"/>
      </w:pPr>
      <w:r w:rsidRPr="00F5538A">
        <w:rPr>
          <w:b/>
          <w:bCs/>
        </w:rPr>
        <w:t>Shadow and Reverse-Shadow Sessions:</w:t>
      </w:r>
      <w:r w:rsidRPr="00F5538A">
        <w:t xml:space="preserve"> Incoming resource observes, then demonstrates task readiness.</w:t>
      </w:r>
    </w:p>
    <w:p w14:paraId="0B79A27B" w14:textId="77777777" w:rsidR="007C24E8" w:rsidRPr="00F5538A" w:rsidRDefault="007C24E8" w:rsidP="007C26A4">
      <w:pPr>
        <w:pStyle w:val="PBulletlevel1"/>
      </w:pPr>
      <w:r w:rsidRPr="00F5538A">
        <w:rPr>
          <w:b/>
          <w:bCs/>
        </w:rPr>
        <w:t>Validation Checklist:</w:t>
      </w:r>
      <w:r w:rsidRPr="00F5538A">
        <w:t xml:space="preserve"> Reviewed by the QA Manager before handover closure.</w:t>
      </w:r>
    </w:p>
    <w:p w14:paraId="545AFC75" w14:textId="77777777" w:rsidR="007C24E8" w:rsidRPr="00F5538A" w:rsidRDefault="007C24E8" w:rsidP="007C26A4">
      <w:pPr>
        <w:pStyle w:val="PBulletlevel1"/>
      </w:pPr>
      <w:r w:rsidRPr="00F5538A">
        <w:rPr>
          <w:b/>
          <w:bCs/>
        </w:rPr>
        <w:t>Repository Update:</w:t>
      </w:r>
      <w:r w:rsidRPr="00F5538A">
        <w:t xml:space="preserve"> All artifacts uploaded to the QA Knowledge Repository for auditability.</w:t>
      </w:r>
    </w:p>
    <w:p w14:paraId="661F75A0" w14:textId="562FE143" w:rsidR="007C24E8" w:rsidRPr="007C26A4" w:rsidRDefault="007C24E8" w:rsidP="009E5AAC">
      <w:pPr>
        <w:pStyle w:val="PSubheading3"/>
        <w:numPr>
          <w:ilvl w:val="2"/>
          <w:numId w:val="11"/>
        </w:numPr>
      </w:pPr>
      <w:bookmarkStart w:id="148" w:name="_Toc211632749"/>
      <w:bookmarkStart w:id="149" w:name="_Toc212236373"/>
      <w:r w:rsidRPr="007C26A4">
        <w:t>Succession Readiness Audits</w:t>
      </w:r>
      <w:bookmarkEnd w:id="148"/>
      <w:bookmarkEnd w:id="149"/>
    </w:p>
    <w:p w14:paraId="75120F16" w14:textId="77777777" w:rsidR="007631D2" w:rsidRDefault="007C24E8" w:rsidP="007C26A4">
      <w:pPr>
        <w:pStyle w:val="PBodytext"/>
      </w:pPr>
      <w:r w:rsidRPr="00F5538A">
        <w:t xml:space="preserve">Quadrant conducts </w:t>
      </w:r>
      <w:r w:rsidRPr="00F5538A">
        <w:rPr>
          <w:b/>
          <w:bCs/>
        </w:rPr>
        <w:t>semi-annual succession audits</w:t>
      </w:r>
      <w:r w:rsidRPr="00F5538A">
        <w:t xml:space="preserve"> to ensure bench strength and coverage. Metrics include skills redundancy ratio, transition success rate, and time-to-staff compliance.</w:t>
      </w:r>
    </w:p>
    <w:p w14:paraId="5FF07136" w14:textId="4536C6AE" w:rsidR="007C24E8" w:rsidRPr="00F5538A" w:rsidRDefault="007C24E8" w:rsidP="007C26A4">
      <w:pPr>
        <w:pStyle w:val="PBodytext"/>
      </w:pPr>
      <w:r w:rsidRPr="00F5538A">
        <w:t xml:space="preserve">Findings </w:t>
      </w:r>
      <w:r w:rsidR="00A73822">
        <w:t>will be</w:t>
      </w:r>
      <w:r w:rsidRPr="00F5538A">
        <w:t xml:space="preserve"> shared with the Consortium for transparency and joint planning.</w:t>
      </w:r>
    </w:p>
    <w:p w14:paraId="353C8E97" w14:textId="3BD6F9FA" w:rsidR="007C24E8" w:rsidRPr="007C26A4" w:rsidRDefault="007C24E8" w:rsidP="009E5AAC">
      <w:pPr>
        <w:pStyle w:val="PSubheading3"/>
        <w:numPr>
          <w:ilvl w:val="2"/>
          <w:numId w:val="11"/>
        </w:numPr>
      </w:pPr>
      <w:bookmarkStart w:id="150" w:name="_Toc211632750"/>
      <w:bookmarkStart w:id="151" w:name="_Toc212236374"/>
      <w:r w:rsidRPr="007C26A4">
        <w:t>Staff Retention and Morale</w:t>
      </w:r>
      <w:bookmarkEnd w:id="150"/>
      <w:bookmarkEnd w:id="151"/>
    </w:p>
    <w:p w14:paraId="6F36F8DD" w14:textId="77777777" w:rsidR="007C24E8" w:rsidRPr="00F5538A" w:rsidRDefault="007C24E8" w:rsidP="007C26A4">
      <w:pPr>
        <w:pStyle w:val="PBodytext"/>
      </w:pPr>
      <w:r w:rsidRPr="00F5538A">
        <w:t>Retention is a key success metric for Quadrant’s QA programs. Our retention plan includes:</w:t>
      </w:r>
    </w:p>
    <w:p w14:paraId="2AF63777" w14:textId="77777777" w:rsidR="007C24E8" w:rsidRPr="00F5538A" w:rsidRDefault="007C24E8" w:rsidP="00F6704C">
      <w:pPr>
        <w:pStyle w:val="PBulletlevel1"/>
      </w:pPr>
      <w:r w:rsidRPr="00F5538A">
        <w:t>Competitive compensation and recognition programs.</w:t>
      </w:r>
    </w:p>
    <w:p w14:paraId="42BA8967" w14:textId="77777777" w:rsidR="007C24E8" w:rsidRPr="00F5538A" w:rsidRDefault="007C24E8" w:rsidP="00F6704C">
      <w:pPr>
        <w:pStyle w:val="PBulletlevel1"/>
      </w:pPr>
      <w:r w:rsidRPr="00F5538A">
        <w:t>Career progression mapping for CalSAWS assignments.</w:t>
      </w:r>
    </w:p>
    <w:p w14:paraId="0935FE9A" w14:textId="77777777" w:rsidR="007C24E8" w:rsidRPr="00F5538A" w:rsidRDefault="007C24E8" w:rsidP="00F6704C">
      <w:pPr>
        <w:pStyle w:val="PBulletlevel1"/>
      </w:pPr>
      <w:r w:rsidRPr="00F5538A">
        <w:t>Regular mentoring and feedback sessions to address staff concerns.</w:t>
      </w:r>
    </w:p>
    <w:p w14:paraId="777506AD" w14:textId="77777777" w:rsidR="007C24E8" w:rsidRPr="00F5538A" w:rsidRDefault="007C24E8" w:rsidP="00F6704C">
      <w:pPr>
        <w:pStyle w:val="PBulletlevel1"/>
      </w:pPr>
      <w:r w:rsidRPr="00F5538A">
        <w:t>Team celebrations and acknowledgments for milestone achievements.</w:t>
      </w:r>
    </w:p>
    <w:p w14:paraId="5F8E058B" w14:textId="18BEC08D" w:rsidR="007C24E8" w:rsidRPr="00F6704C" w:rsidRDefault="007C24E8" w:rsidP="00F6704C">
      <w:pPr>
        <w:pStyle w:val="PBodytext"/>
      </w:pPr>
      <w:r w:rsidRPr="00F6704C">
        <w:lastRenderedPageBreak/>
        <w:t xml:space="preserve">As a result, Quadrant maintains an average </w:t>
      </w:r>
      <w:r w:rsidRPr="003E43F4">
        <w:rPr>
          <w:b/>
          <w:bCs/>
        </w:rPr>
        <w:t>staff retention rate above 92%</w:t>
      </w:r>
      <w:r w:rsidRPr="00F6704C">
        <w:t xml:space="preserve"> across its public sector engagements.</w:t>
      </w:r>
    </w:p>
    <w:p w14:paraId="1522AC77" w14:textId="68153D2C" w:rsidR="007C24E8" w:rsidRPr="003E43F4" w:rsidRDefault="007C24E8" w:rsidP="009E5AAC">
      <w:pPr>
        <w:pStyle w:val="PSubheading3"/>
        <w:numPr>
          <w:ilvl w:val="2"/>
          <w:numId w:val="11"/>
        </w:numPr>
      </w:pPr>
      <w:bookmarkStart w:id="152" w:name="_Toc211632751"/>
      <w:bookmarkStart w:id="153" w:name="_Toc212236375"/>
      <w:r w:rsidRPr="003E43F4">
        <w:t>Compliance with RFP Requirements</w:t>
      </w:r>
      <w:bookmarkEnd w:id="152"/>
      <w:bookmarkEnd w:id="153"/>
    </w:p>
    <w:p w14:paraId="46726954" w14:textId="77777777" w:rsidR="009E02FC" w:rsidRPr="00F6704C" w:rsidRDefault="007C24E8" w:rsidP="00F6704C">
      <w:pPr>
        <w:pStyle w:val="PBodytext"/>
      </w:pPr>
      <w:r w:rsidRPr="00F6704C">
        <w:t>All staff changes and continuity processes adhere to Section 5 of the RFP (Staffing Requirements).</w:t>
      </w:r>
    </w:p>
    <w:p w14:paraId="6E3F00A8" w14:textId="57933C05" w:rsidR="007C24E8" w:rsidRPr="00F6704C" w:rsidRDefault="007C24E8" w:rsidP="00F6704C">
      <w:pPr>
        <w:pStyle w:val="PBodytext"/>
      </w:pPr>
      <w:r w:rsidRPr="00F6704C">
        <w:t>Quadrant commits to providing timely notice, qualified replacements, and transparent transition documentation for each change event.</w:t>
      </w:r>
    </w:p>
    <w:p w14:paraId="71916B59" w14:textId="3FC43834" w:rsidR="004F459A" w:rsidRPr="005A4154" w:rsidRDefault="009E5AAC" w:rsidP="00C22EE1">
      <w:pPr>
        <w:pStyle w:val="PSubheading3"/>
      </w:pPr>
      <w:bookmarkStart w:id="154" w:name="_Toc209082421"/>
      <w:bookmarkEnd w:id="139"/>
      <w:r>
        <w:t>Performance Management</w:t>
      </w:r>
    </w:p>
    <w:p w14:paraId="60AA227F" w14:textId="77777777" w:rsidR="005955F6" w:rsidRDefault="004F459A" w:rsidP="005A4154">
      <w:pPr>
        <w:pStyle w:val="PBodytext"/>
      </w:pPr>
      <w:r w:rsidRPr="00F5538A">
        <w:t xml:space="preserve">Quadrant Technologies has established a structured </w:t>
      </w:r>
      <w:r w:rsidRPr="00F5538A">
        <w:rPr>
          <w:b/>
          <w:bCs/>
        </w:rPr>
        <w:t>Performance Management Framework (PMF)</w:t>
      </w:r>
      <w:r w:rsidRPr="00F5538A">
        <w:t xml:space="preserve"> to ensure continuous measurement, transparency, and improvement of all QA activities performed under the CalSAWS program.</w:t>
      </w:r>
    </w:p>
    <w:p w14:paraId="72D01696" w14:textId="4D41641A" w:rsidR="004F459A" w:rsidRPr="00F5538A" w:rsidRDefault="004F459A" w:rsidP="005A4154">
      <w:pPr>
        <w:pStyle w:val="PBodytext"/>
      </w:pPr>
      <w:r w:rsidRPr="00F5538A">
        <w:t>The framework defines key performance indicators (KPIs), reporting cadence, analytical dashboards, and governance mechanisms that collectively guarantee service excellence and alignment with RFP Section 5 requirements.</w:t>
      </w:r>
    </w:p>
    <w:p w14:paraId="6978A569" w14:textId="3AEEDA49" w:rsidR="004F459A" w:rsidRPr="005A4154" w:rsidRDefault="004F459A" w:rsidP="009E5AAC">
      <w:pPr>
        <w:pStyle w:val="PSubheading3"/>
        <w:numPr>
          <w:ilvl w:val="2"/>
          <w:numId w:val="11"/>
        </w:numPr>
      </w:pPr>
      <w:bookmarkStart w:id="155" w:name="_Toc211632754"/>
      <w:r w:rsidRPr="005A4154">
        <w:t>Objectives of the PMF</w:t>
      </w:r>
      <w:bookmarkEnd w:id="155"/>
    </w:p>
    <w:p w14:paraId="546E9F2F" w14:textId="77777777" w:rsidR="004F459A" w:rsidRPr="00F5538A" w:rsidRDefault="004F459A" w:rsidP="005A4154">
      <w:pPr>
        <w:pStyle w:val="PBodytext"/>
      </w:pPr>
      <w:r w:rsidRPr="00F5538A">
        <w:t>The PMF is designed to achieve the following objectives:</w:t>
      </w:r>
    </w:p>
    <w:p w14:paraId="32DDB973" w14:textId="77777777" w:rsidR="004F459A" w:rsidRPr="00F5538A" w:rsidRDefault="004F459A" w:rsidP="005F7AE5">
      <w:pPr>
        <w:pStyle w:val="PNumberlevel1"/>
        <w:numPr>
          <w:ilvl w:val="0"/>
          <w:numId w:val="17"/>
        </w:numPr>
      </w:pPr>
      <w:r w:rsidRPr="005A4154">
        <w:rPr>
          <w:b/>
          <w:bCs/>
        </w:rPr>
        <w:t>Quantifiable Performance Measurement</w:t>
      </w:r>
      <w:r w:rsidRPr="00F5538A">
        <w:t xml:space="preserve"> – Define and monitor measurable KPIs tied to QA deliverables and service-level agreements (SLAs).</w:t>
      </w:r>
    </w:p>
    <w:p w14:paraId="7F202F6A" w14:textId="77777777" w:rsidR="004F459A" w:rsidRPr="00F5538A" w:rsidRDefault="004F459A" w:rsidP="005F7AE5">
      <w:pPr>
        <w:pStyle w:val="PNumberlevel1"/>
        <w:numPr>
          <w:ilvl w:val="0"/>
          <w:numId w:val="17"/>
        </w:numPr>
      </w:pPr>
      <w:r w:rsidRPr="005A4154">
        <w:rPr>
          <w:b/>
          <w:bCs/>
        </w:rPr>
        <w:t>Transparency and Traceability</w:t>
      </w:r>
      <w:r w:rsidRPr="00F5538A">
        <w:t xml:space="preserve"> – Provide real-time visibility into QA progress through dashboards and scorecards.</w:t>
      </w:r>
    </w:p>
    <w:p w14:paraId="10C7F005" w14:textId="77777777" w:rsidR="004F459A" w:rsidRPr="00F5538A" w:rsidRDefault="004F459A" w:rsidP="005F7AE5">
      <w:pPr>
        <w:pStyle w:val="PNumberlevel1"/>
        <w:numPr>
          <w:ilvl w:val="0"/>
          <w:numId w:val="17"/>
        </w:numPr>
      </w:pPr>
      <w:r w:rsidRPr="005A4154">
        <w:rPr>
          <w:b/>
          <w:bCs/>
        </w:rPr>
        <w:t>Accountability and Continuous Improvement</w:t>
      </w:r>
      <w:r w:rsidRPr="00F5538A">
        <w:t xml:space="preserve"> – Hold each role accountable for specific performance metrics while establishing feedback loops for continuous enhancement.</w:t>
      </w:r>
    </w:p>
    <w:p w14:paraId="614FA2B1" w14:textId="77777777" w:rsidR="004F459A" w:rsidRPr="00F5538A" w:rsidRDefault="004F459A" w:rsidP="005F7AE5">
      <w:pPr>
        <w:pStyle w:val="PNumberlevel1"/>
        <w:numPr>
          <w:ilvl w:val="0"/>
          <w:numId w:val="17"/>
        </w:numPr>
      </w:pPr>
      <w:r w:rsidRPr="005A4154">
        <w:rPr>
          <w:b/>
          <w:bCs/>
        </w:rPr>
        <w:t>Early Warning and Corrective Action</w:t>
      </w:r>
      <w:r w:rsidRPr="00F5538A">
        <w:t xml:space="preserve"> – Use analytics to identify deviations proactively and implement mitigation plans.</w:t>
      </w:r>
    </w:p>
    <w:p w14:paraId="62ABD2A2" w14:textId="3E7364BC" w:rsidR="004F459A" w:rsidRPr="0076578A" w:rsidRDefault="004F459A" w:rsidP="009E5AAC">
      <w:pPr>
        <w:pStyle w:val="PSubheading3"/>
        <w:numPr>
          <w:ilvl w:val="2"/>
          <w:numId w:val="11"/>
        </w:numPr>
      </w:pPr>
      <w:bookmarkStart w:id="156" w:name="_Toc211632755"/>
      <w:bookmarkStart w:id="157" w:name="_Toc212236378"/>
      <w:r w:rsidRPr="0076578A">
        <w:t>Key Performance Indicators (KPIs)</w:t>
      </w:r>
      <w:bookmarkEnd w:id="156"/>
      <w:bookmarkEnd w:id="157"/>
    </w:p>
    <w:p w14:paraId="74BC8271" w14:textId="37741373" w:rsidR="004F459A" w:rsidRPr="00F5538A" w:rsidRDefault="004F459A" w:rsidP="0076578A">
      <w:pPr>
        <w:pStyle w:val="PBodytext"/>
      </w:pPr>
      <w:r w:rsidRPr="00F5538A">
        <w:t>Quadrant defines KPIs at three hierarchical levels</w:t>
      </w:r>
      <w:r w:rsidR="00DE38AE">
        <w:t xml:space="preserve">: </w:t>
      </w:r>
      <w:r w:rsidRPr="00DE38AE">
        <w:t>Program, Team, and Individual</w:t>
      </w:r>
      <w:r w:rsidRPr="00F5538A">
        <w:t>.</w:t>
      </w:r>
    </w:p>
    <w:p w14:paraId="65AE1201" w14:textId="79B20E84" w:rsidR="003335A5" w:rsidRDefault="003335A5" w:rsidP="003335A5">
      <w:pPr>
        <w:pStyle w:val="Caption"/>
      </w:pPr>
      <w:bookmarkStart w:id="158" w:name="_Toc212409119"/>
      <w:r>
        <w:t xml:space="preserve">Table </w:t>
      </w:r>
      <w:r>
        <w:fldChar w:fldCharType="begin"/>
      </w:r>
      <w:r>
        <w:instrText>SEQ Table \* ARABIC</w:instrText>
      </w:r>
      <w:r>
        <w:fldChar w:fldCharType="separate"/>
      </w:r>
      <w:r w:rsidR="00324369">
        <w:rPr>
          <w:noProof/>
        </w:rPr>
        <w:t>5</w:t>
      </w:r>
      <w:r>
        <w:fldChar w:fldCharType="end"/>
      </w:r>
      <w:r>
        <w:t>. Program Level KPIs</w:t>
      </w:r>
      <w:bookmarkEnd w:id="158"/>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72" w:type="dxa"/>
          <w:left w:w="72" w:type="dxa"/>
          <w:bottom w:w="72" w:type="dxa"/>
          <w:right w:w="72" w:type="dxa"/>
        </w:tblCellMar>
        <w:tblLook w:val="04A0" w:firstRow="1" w:lastRow="0" w:firstColumn="1" w:lastColumn="0" w:noHBand="0" w:noVBand="1"/>
      </w:tblPr>
      <w:tblGrid>
        <w:gridCol w:w="2515"/>
        <w:gridCol w:w="4140"/>
        <w:gridCol w:w="2695"/>
      </w:tblGrid>
      <w:tr w:rsidR="00DA1C17" w14:paraId="526B3E9A" w14:textId="77777777" w:rsidTr="00DA1C17">
        <w:tc>
          <w:tcPr>
            <w:tcW w:w="2515" w:type="dxa"/>
            <w:shd w:val="clear" w:color="auto" w:fill="C5E9FE" w:themeFill="accent3" w:themeFillTint="33"/>
          </w:tcPr>
          <w:p w14:paraId="5D95CDBB" w14:textId="000644D3" w:rsidR="00DA1C17" w:rsidRPr="00DA1C17" w:rsidRDefault="00DA1C17" w:rsidP="00DA1C17">
            <w:pPr>
              <w:pStyle w:val="PTablebodytext"/>
              <w:rPr>
                <w:b/>
                <w:bCs/>
              </w:rPr>
            </w:pPr>
            <w:r>
              <w:rPr>
                <w:b/>
                <w:bCs/>
              </w:rPr>
              <w:t>Metric</w:t>
            </w:r>
          </w:p>
        </w:tc>
        <w:tc>
          <w:tcPr>
            <w:tcW w:w="4140" w:type="dxa"/>
            <w:shd w:val="clear" w:color="auto" w:fill="C5E9FE" w:themeFill="accent3" w:themeFillTint="33"/>
          </w:tcPr>
          <w:p w14:paraId="57025F71" w14:textId="49116E02" w:rsidR="00DA1C17" w:rsidRPr="00DA1C17" w:rsidRDefault="00DA1C17" w:rsidP="00DA1C17">
            <w:pPr>
              <w:pStyle w:val="PTablebodytext"/>
              <w:rPr>
                <w:b/>
                <w:bCs/>
              </w:rPr>
            </w:pPr>
            <w:r>
              <w:rPr>
                <w:b/>
                <w:bCs/>
              </w:rPr>
              <w:t>Description</w:t>
            </w:r>
          </w:p>
        </w:tc>
        <w:tc>
          <w:tcPr>
            <w:tcW w:w="2695" w:type="dxa"/>
            <w:shd w:val="clear" w:color="auto" w:fill="C5E9FE" w:themeFill="accent3" w:themeFillTint="33"/>
          </w:tcPr>
          <w:p w14:paraId="11144A18" w14:textId="6D08BA2D" w:rsidR="00DA1C17" w:rsidRPr="00DA1C17" w:rsidRDefault="00DA1C17" w:rsidP="00DA1C17">
            <w:pPr>
              <w:pStyle w:val="PTablebodytext"/>
              <w:rPr>
                <w:b/>
                <w:bCs/>
              </w:rPr>
            </w:pPr>
            <w:r>
              <w:rPr>
                <w:b/>
                <w:bCs/>
              </w:rPr>
              <w:t>Target/Benchmark</w:t>
            </w:r>
          </w:p>
        </w:tc>
      </w:tr>
      <w:tr w:rsidR="00DA1C17" w14:paraId="44436167" w14:textId="77777777" w:rsidTr="00D818F9">
        <w:tc>
          <w:tcPr>
            <w:tcW w:w="2515" w:type="dxa"/>
          </w:tcPr>
          <w:p w14:paraId="774D8983" w14:textId="44696FFB" w:rsidR="00DA1C17" w:rsidRPr="00DA1C17" w:rsidRDefault="00DA1C17" w:rsidP="00D818F9">
            <w:pPr>
              <w:pStyle w:val="PTablebodytext"/>
            </w:pPr>
            <w:r w:rsidRPr="00DA1C17">
              <w:t>Defect Leakage Rate</w:t>
            </w:r>
          </w:p>
        </w:tc>
        <w:tc>
          <w:tcPr>
            <w:tcW w:w="4140" w:type="dxa"/>
          </w:tcPr>
          <w:p w14:paraId="74A1522F" w14:textId="1BF9CD66" w:rsidR="00DA1C17" w:rsidRPr="00DA1C17" w:rsidRDefault="00DA1C17" w:rsidP="00D818F9">
            <w:pPr>
              <w:pStyle w:val="PTablebodytext"/>
            </w:pPr>
            <w:r w:rsidRPr="00DA1C17">
              <w:t>Percentage of defects discovered post-production</w:t>
            </w:r>
          </w:p>
        </w:tc>
        <w:tc>
          <w:tcPr>
            <w:tcW w:w="2695" w:type="dxa"/>
          </w:tcPr>
          <w:p w14:paraId="6BDACEFB" w14:textId="4764D87F" w:rsidR="00DA1C17" w:rsidRPr="00DA1C17" w:rsidRDefault="00DA1C17" w:rsidP="00D818F9">
            <w:pPr>
              <w:pStyle w:val="PTablebodytext"/>
            </w:pPr>
            <w:r w:rsidRPr="00DA1C17">
              <w:t>&lt; 3% of total defects</w:t>
            </w:r>
          </w:p>
        </w:tc>
      </w:tr>
      <w:tr w:rsidR="00DA1C17" w14:paraId="3134BF2B" w14:textId="77777777" w:rsidTr="00D818F9">
        <w:tc>
          <w:tcPr>
            <w:tcW w:w="2515" w:type="dxa"/>
          </w:tcPr>
          <w:p w14:paraId="67FC8DBF" w14:textId="71F536A9" w:rsidR="00DA1C17" w:rsidRPr="00DA1C17" w:rsidRDefault="00DA1C17" w:rsidP="00D818F9">
            <w:pPr>
              <w:pStyle w:val="PTablebodytext"/>
            </w:pPr>
            <w:r w:rsidRPr="00DA1C17">
              <w:t>QA Schedule Adherence</w:t>
            </w:r>
          </w:p>
        </w:tc>
        <w:tc>
          <w:tcPr>
            <w:tcW w:w="4140" w:type="dxa"/>
          </w:tcPr>
          <w:p w14:paraId="5ED6D6B7" w14:textId="673EF6D7" w:rsidR="00DA1C17" w:rsidRPr="00DA1C17" w:rsidRDefault="00DA1C17" w:rsidP="00D818F9">
            <w:pPr>
              <w:pStyle w:val="PTablebodytext"/>
            </w:pPr>
            <w:r w:rsidRPr="00DA1C17">
              <w:t>% of milestones achieved on or before due date</w:t>
            </w:r>
          </w:p>
        </w:tc>
        <w:tc>
          <w:tcPr>
            <w:tcW w:w="2695" w:type="dxa"/>
          </w:tcPr>
          <w:p w14:paraId="72F80DC2" w14:textId="02D250FD" w:rsidR="00DA1C17" w:rsidRPr="00DA1C17" w:rsidRDefault="00DA1C17" w:rsidP="00D818F9">
            <w:pPr>
              <w:pStyle w:val="PTablebodytext"/>
            </w:pPr>
            <w:r w:rsidRPr="00DA1C17">
              <w:t>≥ 95%</w:t>
            </w:r>
          </w:p>
        </w:tc>
      </w:tr>
      <w:tr w:rsidR="00DA1C17" w14:paraId="54351B21" w14:textId="77777777" w:rsidTr="00D818F9">
        <w:tc>
          <w:tcPr>
            <w:tcW w:w="2515" w:type="dxa"/>
          </w:tcPr>
          <w:p w14:paraId="4F96997B" w14:textId="44090738" w:rsidR="00DA1C17" w:rsidRPr="00DA1C17" w:rsidRDefault="00DA1C17" w:rsidP="00D818F9">
            <w:pPr>
              <w:pStyle w:val="PTablebodytext"/>
            </w:pPr>
            <w:r w:rsidRPr="00DA1C17">
              <w:t>Automation ROI</w:t>
            </w:r>
          </w:p>
        </w:tc>
        <w:tc>
          <w:tcPr>
            <w:tcW w:w="4140" w:type="dxa"/>
          </w:tcPr>
          <w:p w14:paraId="5F8ADAC0" w14:textId="2966D3AD" w:rsidR="00DA1C17" w:rsidRPr="00DA1C17" w:rsidRDefault="00DA1C17" w:rsidP="00D818F9">
            <w:pPr>
              <w:pStyle w:val="PTablebodytext"/>
            </w:pPr>
            <w:r w:rsidRPr="00DA1C17">
              <w:t>Ratio of manual effort reduction to automation investment</w:t>
            </w:r>
          </w:p>
        </w:tc>
        <w:tc>
          <w:tcPr>
            <w:tcW w:w="2695" w:type="dxa"/>
          </w:tcPr>
          <w:p w14:paraId="6CF6D422" w14:textId="68D34FA3" w:rsidR="00DA1C17" w:rsidRPr="00DA1C17" w:rsidRDefault="00DA1C17" w:rsidP="00D818F9">
            <w:pPr>
              <w:pStyle w:val="PTablebodytext"/>
            </w:pPr>
            <w:r w:rsidRPr="00DA1C17">
              <w:t>≥ 1.5 within first year</w:t>
            </w:r>
          </w:p>
        </w:tc>
      </w:tr>
      <w:tr w:rsidR="00DA1C17" w14:paraId="68FDC49D" w14:textId="77777777" w:rsidTr="00D818F9">
        <w:tc>
          <w:tcPr>
            <w:tcW w:w="2515" w:type="dxa"/>
          </w:tcPr>
          <w:p w14:paraId="145EA7B8" w14:textId="5ECEBAFB" w:rsidR="00DA1C17" w:rsidRPr="00DA1C17" w:rsidRDefault="00DA1C17" w:rsidP="00D818F9">
            <w:pPr>
              <w:pStyle w:val="PTablebodytext"/>
            </w:pPr>
            <w:r w:rsidRPr="00DA1C17">
              <w:t>SLA Compliance</w:t>
            </w:r>
          </w:p>
        </w:tc>
        <w:tc>
          <w:tcPr>
            <w:tcW w:w="4140" w:type="dxa"/>
          </w:tcPr>
          <w:p w14:paraId="0E54F272" w14:textId="3BE81B15" w:rsidR="00DA1C17" w:rsidRPr="00DA1C17" w:rsidRDefault="00DA1C17" w:rsidP="00D818F9">
            <w:pPr>
              <w:pStyle w:val="PTablebodytext"/>
            </w:pPr>
            <w:r w:rsidRPr="00DA1C17">
              <w:t>% of deliverables meeting SLA timelines</w:t>
            </w:r>
          </w:p>
        </w:tc>
        <w:tc>
          <w:tcPr>
            <w:tcW w:w="2695" w:type="dxa"/>
          </w:tcPr>
          <w:p w14:paraId="6BE5C685" w14:textId="5979AD03" w:rsidR="00DA1C17" w:rsidRPr="00DA1C17" w:rsidRDefault="00DA1C17" w:rsidP="00D818F9">
            <w:pPr>
              <w:pStyle w:val="PTablebodytext"/>
            </w:pPr>
            <w:r w:rsidRPr="00DA1C17">
              <w:t>≥ 98%</w:t>
            </w:r>
          </w:p>
        </w:tc>
      </w:tr>
    </w:tbl>
    <w:p w14:paraId="736355E1" w14:textId="77777777" w:rsidR="00DA1C17" w:rsidRPr="00F5538A" w:rsidRDefault="00DA1C17" w:rsidP="0076578A">
      <w:pPr>
        <w:pStyle w:val="PBodytext"/>
        <w:rPr>
          <w:b/>
          <w:bCs/>
        </w:rPr>
      </w:pPr>
    </w:p>
    <w:p w14:paraId="00E9AF0C" w14:textId="790309E3" w:rsidR="00D818F9" w:rsidRDefault="00D818F9" w:rsidP="00D818F9">
      <w:pPr>
        <w:pStyle w:val="Caption"/>
      </w:pPr>
      <w:bookmarkStart w:id="159" w:name="_Toc212409120"/>
      <w:r>
        <w:lastRenderedPageBreak/>
        <w:t xml:space="preserve">Table </w:t>
      </w:r>
      <w:r>
        <w:fldChar w:fldCharType="begin"/>
      </w:r>
      <w:r>
        <w:instrText>SEQ Table \* ARABIC</w:instrText>
      </w:r>
      <w:r>
        <w:fldChar w:fldCharType="separate"/>
      </w:r>
      <w:r w:rsidR="00324369">
        <w:rPr>
          <w:noProof/>
        </w:rPr>
        <w:t>6</w:t>
      </w:r>
      <w:r>
        <w:fldChar w:fldCharType="end"/>
      </w:r>
      <w:r>
        <w:t>. Team Level KPIs</w:t>
      </w:r>
      <w:bookmarkEnd w:id="159"/>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72" w:type="dxa"/>
          <w:left w:w="72" w:type="dxa"/>
          <w:bottom w:w="72" w:type="dxa"/>
          <w:right w:w="72" w:type="dxa"/>
        </w:tblCellMar>
        <w:tblLook w:val="04A0" w:firstRow="1" w:lastRow="0" w:firstColumn="1" w:lastColumn="0" w:noHBand="0" w:noVBand="1"/>
      </w:tblPr>
      <w:tblGrid>
        <w:gridCol w:w="2515"/>
        <w:gridCol w:w="4140"/>
        <w:gridCol w:w="2695"/>
      </w:tblGrid>
      <w:tr w:rsidR="003335A5" w14:paraId="11E0AE52" w14:textId="77777777" w:rsidTr="00037961">
        <w:tc>
          <w:tcPr>
            <w:tcW w:w="2515" w:type="dxa"/>
            <w:shd w:val="clear" w:color="auto" w:fill="C5E9FE" w:themeFill="accent3" w:themeFillTint="33"/>
          </w:tcPr>
          <w:p w14:paraId="0FCC3FB1" w14:textId="77777777" w:rsidR="003335A5" w:rsidRPr="00DA1C17" w:rsidRDefault="003335A5" w:rsidP="00037961">
            <w:pPr>
              <w:pStyle w:val="PTablebodytext"/>
              <w:rPr>
                <w:b/>
                <w:bCs/>
              </w:rPr>
            </w:pPr>
            <w:r>
              <w:rPr>
                <w:b/>
                <w:bCs/>
              </w:rPr>
              <w:t>Metric</w:t>
            </w:r>
          </w:p>
        </w:tc>
        <w:tc>
          <w:tcPr>
            <w:tcW w:w="4140" w:type="dxa"/>
            <w:shd w:val="clear" w:color="auto" w:fill="C5E9FE" w:themeFill="accent3" w:themeFillTint="33"/>
          </w:tcPr>
          <w:p w14:paraId="29B42E76" w14:textId="2772380B" w:rsidR="003335A5" w:rsidRPr="00DA1C17" w:rsidRDefault="003335A5" w:rsidP="00037961">
            <w:pPr>
              <w:pStyle w:val="PTablebodytext"/>
              <w:rPr>
                <w:b/>
                <w:bCs/>
              </w:rPr>
            </w:pPr>
            <w:r>
              <w:rPr>
                <w:b/>
                <w:bCs/>
              </w:rPr>
              <w:t>Purpose</w:t>
            </w:r>
          </w:p>
        </w:tc>
        <w:tc>
          <w:tcPr>
            <w:tcW w:w="2695" w:type="dxa"/>
            <w:shd w:val="clear" w:color="auto" w:fill="C5E9FE" w:themeFill="accent3" w:themeFillTint="33"/>
          </w:tcPr>
          <w:p w14:paraId="00673173" w14:textId="074E47AB" w:rsidR="003335A5" w:rsidRPr="00DA1C17" w:rsidRDefault="003335A5" w:rsidP="00037961">
            <w:pPr>
              <w:pStyle w:val="PTablebodytext"/>
              <w:rPr>
                <w:b/>
                <w:bCs/>
              </w:rPr>
            </w:pPr>
            <w:r>
              <w:rPr>
                <w:b/>
                <w:bCs/>
              </w:rPr>
              <w:t>Target</w:t>
            </w:r>
          </w:p>
        </w:tc>
      </w:tr>
      <w:tr w:rsidR="00D818F9" w14:paraId="2D8E34A3" w14:textId="77777777" w:rsidTr="00D818F9">
        <w:tc>
          <w:tcPr>
            <w:tcW w:w="2515" w:type="dxa"/>
          </w:tcPr>
          <w:p w14:paraId="738C3357" w14:textId="7C70064C" w:rsidR="00D818F9" w:rsidRPr="00D818F9" w:rsidRDefault="00D818F9" w:rsidP="00D818F9">
            <w:pPr>
              <w:pStyle w:val="PTablebodytext"/>
            </w:pPr>
            <w:r w:rsidRPr="00D818F9">
              <w:t>Test Case Execution Efficiency</w:t>
            </w:r>
          </w:p>
        </w:tc>
        <w:tc>
          <w:tcPr>
            <w:tcW w:w="4140" w:type="dxa"/>
          </w:tcPr>
          <w:p w14:paraId="649A779C" w14:textId="70AE7DE1" w:rsidR="00D818F9" w:rsidRPr="00D818F9" w:rsidRDefault="00D818F9" w:rsidP="00D818F9">
            <w:pPr>
              <w:pStyle w:val="PTablebodytext"/>
            </w:pPr>
            <w:r w:rsidRPr="00D818F9">
              <w:t>Test cases executed vs. planned</w:t>
            </w:r>
          </w:p>
        </w:tc>
        <w:tc>
          <w:tcPr>
            <w:tcW w:w="2695" w:type="dxa"/>
          </w:tcPr>
          <w:p w14:paraId="14EB9A61" w14:textId="4FACA951" w:rsidR="00D818F9" w:rsidRPr="00D818F9" w:rsidRDefault="00D818F9" w:rsidP="00D818F9">
            <w:pPr>
              <w:pStyle w:val="PTablebodytext"/>
            </w:pPr>
            <w:r w:rsidRPr="00D818F9">
              <w:t>≥ 90% execution each cycle</w:t>
            </w:r>
          </w:p>
        </w:tc>
      </w:tr>
      <w:tr w:rsidR="00D818F9" w14:paraId="6C368940" w14:textId="77777777" w:rsidTr="00D818F9">
        <w:tc>
          <w:tcPr>
            <w:tcW w:w="2515" w:type="dxa"/>
          </w:tcPr>
          <w:p w14:paraId="438609F0" w14:textId="75947236" w:rsidR="00D818F9" w:rsidRPr="00D818F9" w:rsidRDefault="00D818F9" w:rsidP="00D818F9">
            <w:pPr>
              <w:pStyle w:val="PTablebodytext"/>
            </w:pPr>
            <w:r w:rsidRPr="00D818F9">
              <w:t>Defect Turnaround Time</w:t>
            </w:r>
          </w:p>
        </w:tc>
        <w:tc>
          <w:tcPr>
            <w:tcW w:w="4140" w:type="dxa"/>
          </w:tcPr>
          <w:p w14:paraId="083802EC" w14:textId="5AEE8890" w:rsidR="00D818F9" w:rsidRPr="00D818F9" w:rsidRDefault="00D818F9" w:rsidP="00D818F9">
            <w:pPr>
              <w:pStyle w:val="PTablebodytext"/>
            </w:pPr>
            <w:r w:rsidRPr="00D818F9">
              <w:t>Time to fix and retest defects</w:t>
            </w:r>
          </w:p>
        </w:tc>
        <w:tc>
          <w:tcPr>
            <w:tcW w:w="2695" w:type="dxa"/>
          </w:tcPr>
          <w:p w14:paraId="67D4DD31" w14:textId="0BF9DB66" w:rsidR="00D818F9" w:rsidRPr="00D818F9" w:rsidRDefault="00D818F9" w:rsidP="00D818F9">
            <w:pPr>
              <w:pStyle w:val="PTablebodytext"/>
            </w:pPr>
            <w:r w:rsidRPr="00D818F9">
              <w:t>≤ 3 business days average</w:t>
            </w:r>
          </w:p>
        </w:tc>
      </w:tr>
      <w:tr w:rsidR="00D818F9" w14:paraId="6570F86F" w14:textId="77777777" w:rsidTr="00D818F9">
        <w:tc>
          <w:tcPr>
            <w:tcW w:w="2515" w:type="dxa"/>
          </w:tcPr>
          <w:p w14:paraId="033C3E09" w14:textId="0B629ECA" w:rsidR="00D818F9" w:rsidRPr="00D818F9" w:rsidRDefault="00D818F9" w:rsidP="00D818F9">
            <w:pPr>
              <w:pStyle w:val="PTablebodytext"/>
            </w:pPr>
            <w:r w:rsidRPr="00D818F9">
              <w:t>Test Coverage Ratio</w:t>
            </w:r>
          </w:p>
        </w:tc>
        <w:tc>
          <w:tcPr>
            <w:tcW w:w="4140" w:type="dxa"/>
          </w:tcPr>
          <w:p w14:paraId="39249465" w14:textId="617270D7" w:rsidR="00D818F9" w:rsidRPr="00D818F9" w:rsidRDefault="00D818F9" w:rsidP="00D818F9">
            <w:pPr>
              <w:pStyle w:val="PTablebodytext"/>
            </w:pPr>
            <w:r w:rsidRPr="00D818F9">
              <w:t>% of requirements with validated tests</w:t>
            </w:r>
          </w:p>
        </w:tc>
        <w:tc>
          <w:tcPr>
            <w:tcW w:w="2695" w:type="dxa"/>
          </w:tcPr>
          <w:p w14:paraId="4B5DB837" w14:textId="2DE86484" w:rsidR="00D818F9" w:rsidRPr="00D818F9" w:rsidRDefault="00D818F9" w:rsidP="00D818F9">
            <w:pPr>
              <w:pStyle w:val="PTablebodytext"/>
            </w:pPr>
            <w:r w:rsidRPr="00D818F9">
              <w:t>≥ 95%</w:t>
            </w:r>
          </w:p>
        </w:tc>
      </w:tr>
    </w:tbl>
    <w:p w14:paraId="0176DF6D" w14:textId="77777777" w:rsidR="004F459A" w:rsidRPr="00691BF0" w:rsidRDefault="004F459A" w:rsidP="00691BF0">
      <w:pPr>
        <w:pStyle w:val="PBodytext"/>
        <w:rPr>
          <w:b/>
          <w:bCs/>
        </w:rPr>
      </w:pPr>
      <w:r w:rsidRPr="00691BF0">
        <w:rPr>
          <w:b/>
          <w:bCs/>
        </w:rPr>
        <w:t>Individual Level KPIs</w:t>
      </w:r>
    </w:p>
    <w:p w14:paraId="4865F85E" w14:textId="54E9F01D" w:rsidR="004F459A" w:rsidRPr="00F5538A" w:rsidRDefault="004F459A" w:rsidP="00691BF0">
      <w:pPr>
        <w:pStyle w:val="PBodytext"/>
      </w:pPr>
      <w:r w:rsidRPr="00F5538A">
        <w:t>Each QA member’s appraisal includes</w:t>
      </w:r>
      <w:r w:rsidR="00AF6AB0">
        <w:t xml:space="preserve"> </w:t>
      </w:r>
      <w:r w:rsidRPr="00F5538A">
        <w:t xml:space="preserve">defect detection efficiency, collaboration score, adherence to SOPs, and participation in </w:t>
      </w:r>
      <w:r w:rsidR="00DE38AE" w:rsidRPr="00F5538A">
        <w:t>innovative</w:t>
      </w:r>
      <w:r w:rsidRPr="00F5538A">
        <w:t xml:space="preserve"> initiatives.</w:t>
      </w:r>
    </w:p>
    <w:p w14:paraId="6F94B6DB" w14:textId="4E329244" w:rsidR="004F459A" w:rsidRPr="00C37C3E" w:rsidRDefault="004F459A" w:rsidP="009E5AAC">
      <w:pPr>
        <w:pStyle w:val="PSubheading3"/>
        <w:numPr>
          <w:ilvl w:val="2"/>
          <w:numId w:val="11"/>
        </w:numPr>
      </w:pPr>
      <w:bookmarkStart w:id="160" w:name="_Toc211632756"/>
      <w:bookmarkStart w:id="161" w:name="_Toc212236379"/>
      <w:r w:rsidRPr="00C37C3E">
        <w:t>Performance Monitoring Tools</w:t>
      </w:r>
      <w:bookmarkEnd w:id="160"/>
      <w:bookmarkEnd w:id="161"/>
    </w:p>
    <w:p w14:paraId="3737D670" w14:textId="77777777" w:rsidR="004F459A" w:rsidRPr="00F5538A" w:rsidRDefault="004F459A" w:rsidP="00C37C3E">
      <w:pPr>
        <w:pStyle w:val="PBodytext"/>
      </w:pPr>
      <w:r w:rsidRPr="00F5538A">
        <w:t>Performance data is captured and analyzed using the following tool suite:</w:t>
      </w:r>
    </w:p>
    <w:p w14:paraId="742A494C" w14:textId="77777777" w:rsidR="004F459A" w:rsidRPr="00F5538A" w:rsidRDefault="004F459A" w:rsidP="009D1C3C">
      <w:pPr>
        <w:pStyle w:val="PBulletlevel1"/>
      </w:pPr>
      <w:r w:rsidRPr="00F5538A">
        <w:rPr>
          <w:b/>
          <w:bCs/>
        </w:rPr>
        <w:t>Power BI</w:t>
      </w:r>
      <w:r w:rsidRPr="00F5538A">
        <w:t xml:space="preserve"> for executive dashboards and scorecards.</w:t>
      </w:r>
    </w:p>
    <w:p w14:paraId="154AD4CF" w14:textId="77777777" w:rsidR="004F459A" w:rsidRPr="00F5538A" w:rsidRDefault="004F459A" w:rsidP="009D1C3C">
      <w:pPr>
        <w:pStyle w:val="PBulletlevel1"/>
      </w:pPr>
      <w:r w:rsidRPr="00F5538A">
        <w:rPr>
          <w:b/>
          <w:bCs/>
        </w:rPr>
        <w:t>Azure DevOps Analytics</w:t>
      </w:r>
      <w:r w:rsidRPr="00F5538A">
        <w:t xml:space="preserve"> for real-time test progress visualization.</w:t>
      </w:r>
    </w:p>
    <w:p w14:paraId="72D2C7C3" w14:textId="77777777" w:rsidR="004F459A" w:rsidRPr="00F5538A" w:rsidRDefault="004F459A" w:rsidP="009D1C3C">
      <w:pPr>
        <w:pStyle w:val="PBulletlevel1"/>
      </w:pPr>
      <w:r w:rsidRPr="00F5538A">
        <w:rPr>
          <w:b/>
          <w:bCs/>
        </w:rPr>
        <w:t>ServiceNow QA Module</w:t>
      </w:r>
      <w:r w:rsidRPr="00F5538A">
        <w:t xml:space="preserve"> for defect turnaround tracking.</w:t>
      </w:r>
    </w:p>
    <w:p w14:paraId="1B467762" w14:textId="77777777" w:rsidR="004F459A" w:rsidRPr="00F5538A" w:rsidRDefault="004F459A" w:rsidP="009D1C3C">
      <w:pPr>
        <w:pStyle w:val="PBulletlevel1"/>
      </w:pPr>
      <w:r w:rsidRPr="00F5538A">
        <w:rPr>
          <w:b/>
          <w:bCs/>
        </w:rPr>
        <w:t>Confluence Reports</w:t>
      </w:r>
      <w:r w:rsidRPr="00F5538A">
        <w:t xml:space="preserve"> for documented lessons learned.</w:t>
      </w:r>
    </w:p>
    <w:p w14:paraId="795EA1AC" w14:textId="429755BD" w:rsidR="004F459A" w:rsidRPr="00C37C3E" w:rsidRDefault="004F459A" w:rsidP="00C37C3E">
      <w:pPr>
        <w:pStyle w:val="PBodytext"/>
      </w:pPr>
      <w:r w:rsidRPr="00C37C3E">
        <w:t>Quadrant integrates these tools to form a unified Performance Command Center (PCC) that delivers automated updates to the Consortium dashboard.</w:t>
      </w:r>
      <w:r w:rsidR="00D57DFF">
        <w:t xml:space="preserve"> </w:t>
      </w:r>
      <w:r w:rsidR="00D57DFF" w:rsidRPr="00D57DFF">
        <w:t>AI-driven anomaly detection integrated into the Performance Command Center (PCC) identifies performance degradations or KPI deviations in real time, enabling predictive insights and preemptive corrective actions</w:t>
      </w:r>
      <w:r w:rsidR="00D57DFF">
        <w:t>.</w:t>
      </w:r>
    </w:p>
    <w:p w14:paraId="7956BB76" w14:textId="4DB03712" w:rsidR="004F459A" w:rsidRPr="009D1C3C" w:rsidRDefault="004F459A" w:rsidP="009E5AAC">
      <w:pPr>
        <w:pStyle w:val="PSubheading3"/>
        <w:numPr>
          <w:ilvl w:val="2"/>
          <w:numId w:val="11"/>
        </w:numPr>
      </w:pPr>
      <w:bookmarkStart w:id="162" w:name="_Toc211632757"/>
      <w:bookmarkStart w:id="163" w:name="_Toc212236380"/>
      <w:r w:rsidRPr="009D1C3C">
        <w:t>Reporting Cadence</w:t>
      </w:r>
      <w:bookmarkEnd w:id="162"/>
      <w:bookmarkEnd w:id="163"/>
    </w:p>
    <w:p w14:paraId="0F629EAC" w14:textId="77777777" w:rsidR="004F459A" w:rsidRPr="00F5538A" w:rsidRDefault="004F459A" w:rsidP="009D1C3C">
      <w:pPr>
        <w:pStyle w:val="PBulletlevel1"/>
      </w:pPr>
      <w:r w:rsidRPr="00F5538A">
        <w:rPr>
          <w:b/>
          <w:bCs/>
        </w:rPr>
        <w:t>Daily Status Reports:</w:t>
      </w:r>
      <w:r w:rsidRPr="00F5538A">
        <w:t xml:space="preserve"> Test execution metrics, defects, and risks.</w:t>
      </w:r>
    </w:p>
    <w:p w14:paraId="556DE940" w14:textId="77777777" w:rsidR="004F459A" w:rsidRPr="00F5538A" w:rsidRDefault="004F459A" w:rsidP="009D1C3C">
      <w:pPr>
        <w:pStyle w:val="PBulletlevel1"/>
      </w:pPr>
      <w:r w:rsidRPr="00F5538A">
        <w:rPr>
          <w:b/>
          <w:bCs/>
        </w:rPr>
        <w:t>Weekly QA Performance Reports:</w:t>
      </w:r>
      <w:r w:rsidRPr="00F5538A">
        <w:t xml:space="preserve"> Aggregated progress with trend analysis.</w:t>
      </w:r>
    </w:p>
    <w:p w14:paraId="749A2200" w14:textId="77777777" w:rsidR="004F459A" w:rsidRPr="00F5538A" w:rsidRDefault="004F459A" w:rsidP="009D1C3C">
      <w:pPr>
        <w:pStyle w:val="PBulletlevel1"/>
      </w:pPr>
      <w:r w:rsidRPr="00F5538A">
        <w:rPr>
          <w:b/>
          <w:bCs/>
        </w:rPr>
        <w:t>Monthly Executive Dashboards:</w:t>
      </w:r>
      <w:r w:rsidRPr="00F5538A">
        <w:t xml:space="preserve"> Summarized KPIs and improvement actions.</w:t>
      </w:r>
    </w:p>
    <w:p w14:paraId="58174D77" w14:textId="77777777" w:rsidR="004F459A" w:rsidRPr="00F5538A" w:rsidRDefault="004F459A" w:rsidP="009D1C3C">
      <w:pPr>
        <w:pStyle w:val="PBulletlevel1"/>
      </w:pPr>
      <w:r w:rsidRPr="00F5538A">
        <w:rPr>
          <w:b/>
          <w:bCs/>
        </w:rPr>
        <w:t>Quarterly Performance Reviews:</w:t>
      </w:r>
      <w:r w:rsidRPr="00F5538A">
        <w:t xml:space="preserve"> Formal presentation to CalSAWS QA Director and PSC.</w:t>
      </w:r>
    </w:p>
    <w:p w14:paraId="1103A4A0" w14:textId="1E362BAB" w:rsidR="004F459A" w:rsidRPr="009D1C3C" w:rsidRDefault="004F459A" w:rsidP="009D1C3C">
      <w:pPr>
        <w:pStyle w:val="PBodytext"/>
      </w:pPr>
      <w:r w:rsidRPr="009D1C3C">
        <w:t xml:space="preserve">All reports are retained for audit purposes </w:t>
      </w:r>
      <w:r w:rsidR="00CF4C08" w:rsidRPr="009D1C3C">
        <w:t>by</w:t>
      </w:r>
      <w:r w:rsidRPr="009D1C3C">
        <w:t xml:space="preserve"> state record-keeping policies.</w:t>
      </w:r>
    </w:p>
    <w:p w14:paraId="538FC609" w14:textId="53E926B8" w:rsidR="004F459A" w:rsidRPr="009D1C3C" w:rsidRDefault="004F459A" w:rsidP="009E5AAC">
      <w:pPr>
        <w:pStyle w:val="PSubheading3"/>
        <w:numPr>
          <w:ilvl w:val="2"/>
          <w:numId w:val="11"/>
        </w:numPr>
      </w:pPr>
      <w:bookmarkStart w:id="164" w:name="_Toc211632758"/>
      <w:bookmarkStart w:id="165" w:name="_Toc212236381"/>
      <w:r w:rsidRPr="009D1C3C">
        <w:t>Continuous Improvement Process (CIP)</w:t>
      </w:r>
      <w:bookmarkEnd w:id="164"/>
      <w:bookmarkEnd w:id="165"/>
    </w:p>
    <w:p w14:paraId="4DAD2AA0" w14:textId="77777777" w:rsidR="004F459A" w:rsidRPr="009D1C3C" w:rsidRDefault="004F459A" w:rsidP="009D1C3C">
      <w:pPr>
        <w:pStyle w:val="PBodytext"/>
      </w:pPr>
      <w:r w:rsidRPr="009D1C3C">
        <w:t>Quadrant follows a Plan–Do–Check–Act (PDCA) model for quality refinement:</w:t>
      </w:r>
    </w:p>
    <w:p w14:paraId="0749106C" w14:textId="77777777" w:rsidR="004F459A" w:rsidRPr="00F5538A" w:rsidRDefault="004F459A" w:rsidP="005F7AE5">
      <w:pPr>
        <w:pStyle w:val="PNumberlevel1"/>
        <w:numPr>
          <w:ilvl w:val="0"/>
          <w:numId w:val="18"/>
        </w:numPr>
      </w:pPr>
      <w:r w:rsidRPr="00B33525">
        <w:rPr>
          <w:b/>
          <w:bCs/>
        </w:rPr>
        <w:t>Plan:</w:t>
      </w:r>
      <w:r w:rsidRPr="00F5538A">
        <w:t xml:space="preserve"> Identify improvement areas based on KPI analysis.</w:t>
      </w:r>
    </w:p>
    <w:p w14:paraId="1907BFFA" w14:textId="2247FD3B" w:rsidR="004F459A" w:rsidRPr="00F5538A" w:rsidRDefault="004F459A" w:rsidP="005F7AE5">
      <w:pPr>
        <w:pStyle w:val="PNumberlevel1"/>
        <w:numPr>
          <w:ilvl w:val="0"/>
          <w:numId w:val="18"/>
        </w:numPr>
      </w:pPr>
      <w:r w:rsidRPr="00B33525">
        <w:rPr>
          <w:b/>
          <w:bCs/>
        </w:rPr>
        <w:t>Do:</w:t>
      </w:r>
      <w:r w:rsidRPr="00F5538A">
        <w:t xml:space="preserve"> </w:t>
      </w:r>
      <w:r w:rsidR="000F6600">
        <w:t>U</w:t>
      </w:r>
      <w:r w:rsidR="000F6600" w:rsidRPr="000F6600">
        <w:t>se of automation telemetry and defect trend analytics to validate process change impact before organization-wide rollout</w:t>
      </w:r>
      <w:r w:rsidRPr="00F5538A">
        <w:t>.</w:t>
      </w:r>
    </w:p>
    <w:p w14:paraId="595C8AE6" w14:textId="77777777" w:rsidR="004F459A" w:rsidRPr="00F5538A" w:rsidRDefault="004F459A" w:rsidP="005F7AE5">
      <w:pPr>
        <w:pStyle w:val="PNumberlevel1"/>
        <w:numPr>
          <w:ilvl w:val="0"/>
          <w:numId w:val="18"/>
        </w:numPr>
      </w:pPr>
      <w:r w:rsidRPr="00B33525">
        <w:rPr>
          <w:b/>
          <w:bCs/>
        </w:rPr>
        <w:t>Check:</w:t>
      </w:r>
      <w:r w:rsidRPr="00F5538A">
        <w:t xml:space="preserve"> Re-evaluate metrics after two iterations to measure impact.</w:t>
      </w:r>
    </w:p>
    <w:p w14:paraId="4E49726B" w14:textId="77777777" w:rsidR="004F459A" w:rsidRPr="00F5538A" w:rsidRDefault="004F459A" w:rsidP="005F7AE5">
      <w:pPr>
        <w:pStyle w:val="PNumberlevel1"/>
        <w:numPr>
          <w:ilvl w:val="0"/>
          <w:numId w:val="18"/>
        </w:numPr>
      </w:pPr>
      <w:r w:rsidRPr="00B33525">
        <w:rPr>
          <w:b/>
          <w:bCs/>
        </w:rPr>
        <w:t>Act:</w:t>
      </w:r>
      <w:r w:rsidRPr="00F5538A">
        <w:t xml:space="preserve"> Standardize successful practices across teams.</w:t>
      </w:r>
    </w:p>
    <w:p w14:paraId="72B75D0B" w14:textId="77777777" w:rsidR="004F459A" w:rsidRPr="00B33525" w:rsidRDefault="004F459A" w:rsidP="00B33525">
      <w:pPr>
        <w:pStyle w:val="PBodytext"/>
      </w:pPr>
      <w:r w:rsidRPr="00B33525">
        <w:t>The CIP outcomes are recorded in the Quarterly QA Performance Review Report submitted to the Consortium.</w:t>
      </w:r>
    </w:p>
    <w:p w14:paraId="6D2251EF" w14:textId="075D2C7D" w:rsidR="004F459A" w:rsidRPr="00B33525" w:rsidRDefault="004F459A" w:rsidP="009E5AAC">
      <w:pPr>
        <w:pStyle w:val="PSubheading3"/>
        <w:numPr>
          <w:ilvl w:val="2"/>
          <w:numId w:val="11"/>
        </w:numPr>
      </w:pPr>
      <w:bookmarkStart w:id="166" w:name="_Toc211632759"/>
      <w:bookmarkStart w:id="167" w:name="_Toc212236382"/>
      <w:r w:rsidRPr="00B33525">
        <w:lastRenderedPageBreak/>
        <w:t>Staff Performance Evaluation</w:t>
      </w:r>
      <w:bookmarkEnd w:id="166"/>
      <w:bookmarkEnd w:id="167"/>
    </w:p>
    <w:p w14:paraId="58AE376F" w14:textId="77777777" w:rsidR="004F459A" w:rsidRPr="00B33525" w:rsidRDefault="004F459A" w:rsidP="00B33525">
      <w:pPr>
        <w:pStyle w:val="PBodytext"/>
      </w:pPr>
      <w:r w:rsidRPr="00B33525">
        <w:t>Each QA resource receives a biannual evaluation based on:</w:t>
      </w:r>
    </w:p>
    <w:p w14:paraId="2E916FAC" w14:textId="77777777" w:rsidR="004F459A" w:rsidRPr="00F5538A" w:rsidRDefault="004F459A" w:rsidP="00B33525">
      <w:pPr>
        <w:pStyle w:val="PBulletlevel1"/>
      </w:pPr>
      <w:r w:rsidRPr="00F5538A">
        <w:t>KPI achievement scores.</w:t>
      </w:r>
    </w:p>
    <w:p w14:paraId="1C75E4DD" w14:textId="77777777" w:rsidR="004F459A" w:rsidRPr="00F5538A" w:rsidRDefault="004F459A" w:rsidP="00B33525">
      <w:pPr>
        <w:pStyle w:val="PBulletlevel1"/>
      </w:pPr>
      <w:r w:rsidRPr="00F5538A">
        <w:t>Peer and stakeholder feedback.</w:t>
      </w:r>
    </w:p>
    <w:p w14:paraId="71D9C1C8" w14:textId="77777777" w:rsidR="004F459A" w:rsidRPr="00F5538A" w:rsidRDefault="004F459A" w:rsidP="00B33525">
      <w:pPr>
        <w:pStyle w:val="PBulletlevel1"/>
      </w:pPr>
      <w:r w:rsidRPr="00F5538A">
        <w:t>Contribution to knowledge sharing and innovation.</w:t>
      </w:r>
    </w:p>
    <w:p w14:paraId="49EC0B25" w14:textId="77777777" w:rsidR="004F459A" w:rsidRPr="00F5538A" w:rsidRDefault="004F459A" w:rsidP="00B33525">
      <w:pPr>
        <w:pStyle w:val="PBulletlevel1"/>
      </w:pPr>
      <w:r w:rsidRPr="00F5538A">
        <w:t>Adherence to QA methodology and security policies.</w:t>
      </w:r>
    </w:p>
    <w:p w14:paraId="7F745D15" w14:textId="77777777" w:rsidR="004F459A" w:rsidRPr="00F5538A" w:rsidRDefault="004F459A" w:rsidP="00B33525">
      <w:pPr>
        <w:pStyle w:val="PBodytext"/>
      </w:pPr>
      <w:r w:rsidRPr="00F5538A">
        <w:t>Exceptional performers are recognized through Quadrant’s “QA Excellence Awards,” with results shared during CalSAWS governance reviews.</w:t>
      </w:r>
    </w:p>
    <w:p w14:paraId="3590BC0D" w14:textId="45DCD761" w:rsidR="004F459A" w:rsidRPr="00B33525" w:rsidRDefault="004F459A" w:rsidP="009E5AAC">
      <w:pPr>
        <w:pStyle w:val="PSubheading3"/>
        <w:numPr>
          <w:ilvl w:val="2"/>
          <w:numId w:val="11"/>
        </w:numPr>
      </w:pPr>
      <w:bookmarkStart w:id="168" w:name="_Toc211632760"/>
      <w:bookmarkStart w:id="169" w:name="_Toc212236383"/>
      <w:r w:rsidRPr="00B33525">
        <w:t>Performance Governance</w:t>
      </w:r>
      <w:bookmarkEnd w:id="168"/>
      <w:bookmarkEnd w:id="169"/>
    </w:p>
    <w:p w14:paraId="0C8B1D49" w14:textId="32FD57CC" w:rsidR="004F459A" w:rsidRDefault="004F459A" w:rsidP="00B33525">
      <w:pPr>
        <w:pStyle w:val="PBodytext"/>
      </w:pPr>
      <w:r w:rsidRPr="00F5538A">
        <w:t xml:space="preserve">The QA Project Manager chairs monthly </w:t>
      </w:r>
      <w:r w:rsidRPr="00F5538A">
        <w:rPr>
          <w:b/>
          <w:bCs/>
        </w:rPr>
        <w:t>Performance Review Board (PRB)</w:t>
      </w:r>
      <w:r w:rsidRPr="00F5538A">
        <w:t xml:space="preserve"> meetings with representatives from CalSAWS and vendor partners to review trends and action plans.</w:t>
      </w:r>
      <w:r w:rsidRPr="00F5538A">
        <w:br/>
        <w:t>The Delivery Partner provides executive oversight and ensures strategic alignment of improvement initiatives.</w:t>
      </w:r>
      <w:r w:rsidR="00403541">
        <w:t xml:space="preserve"> </w:t>
      </w:r>
      <w:r w:rsidR="00403541" w:rsidRPr="00403541">
        <w:t xml:space="preserve">The PRB also reviews AI-generated performance insights and predictive risk indicators to ensure the QA organization remains proactive, data-informed, and aligned with </w:t>
      </w:r>
      <w:proofErr w:type="spellStart"/>
      <w:r w:rsidR="00403541" w:rsidRPr="00403541">
        <w:t>CalSAWS</w:t>
      </w:r>
      <w:proofErr w:type="spellEnd"/>
      <w:r w:rsidR="00403541" w:rsidRPr="00403541">
        <w:t>’ continuous modernization goals.</w:t>
      </w:r>
    </w:p>
    <w:p w14:paraId="26B82584" w14:textId="0B80A87D" w:rsidR="0057556D" w:rsidRPr="00865E66" w:rsidRDefault="0057556D" w:rsidP="00F61C3F">
      <w:pPr>
        <w:pStyle w:val="PSubheading2"/>
        <w:numPr>
          <w:ilvl w:val="0"/>
          <w:numId w:val="11"/>
        </w:numPr>
        <w:ind w:left="360"/>
      </w:pPr>
      <w:bookmarkStart w:id="170" w:name="_Toc211632761"/>
      <w:bookmarkStart w:id="171" w:name="_Toc212236384"/>
      <w:bookmarkStart w:id="172" w:name="_Toc212369227"/>
      <w:bookmarkStart w:id="173" w:name="_Toc212369298"/>
      <w:r w:rsidRPr="00865E66">
        <w:t>Risk Identification and Mitigation</w:t>
      </w:r>
      <w:bookmarkEnd w:id="154"/>
      <w:bookmarkEnd w:id="170"/>
      <w:bookmarkEnd w:id="171"/>
      <w:bookmarkEnd w:id="172"/>
      <w:bookmarkEnd w:id="173"/>
    </w:p>
    <w:p w14:paraId="2121E61F" w14:textId="2CD637A7" w:rsidR="009C3A95" w:rsidRPr="00CB555B" w:rsidRDefault="009C3A95" w:rsidP="00241DF4">
      <w:pPr>
        <w:pStyle w:val="PSubheading3"/>
        <w:ind w:left="450" w:hanging="450"/>
      </w:pPr>
      <w:bookmarkStart w:id="174" w:name="_Toc211632762"/>
      <w:bookmarkStart w:id="175" w:name="_Toc212236385"/>
      <w:r w:rsidRPr="00CB555B">
        <w:t>Overview</w:t>
      </w:r>
      <w:bookmarkEnd w:id="174"/>
      <w:bookmarkEnd w:id="175"/>
    </w:p>
    <w:p w14:paraId="0A452721" w14:textId="39AF1DAF" w:rsidR="0057556D" w:rsidRPr="00865E66" w:rsidRDefault="009C3A95" w:rsidP="00865E66">
      <w:pPr>
        <w:pStyle w:val="PBodytext"/>
      </w:pPr>
      <w:r w:rsidRPr="00865E66">
        <w:t>Effective risk management is central to Quadrant’s QA methodology. The objective is to proactively identify, assess, and mitigate risks before they affect schedule, budget, or quality. Quadrant employs a continuous risk management cycle integrated into its test planning and execution frameworks.</w:t>
      </w:r>
      <w:r w:rsidR="004764D9">
        <w:t xml:space="preserve"> </w:t>
      </w:r>
      <w:r w:rsidR="004764D9" w:rsidRPr="004764D9">
        <w:t xml:space="preserve">Quadrant integrates automation intelligence and predictive analytics into its risk governance, ensuring early detection and data-driven mitigation aligned with </w:t>
      </w:r>
      <w:proofErr w:type="spellStart"/>
      <w:r w:rsidR="004764D9" w:rsidRPr="004764D9">
        <w:t>CalSAWS</w:t>
      </w:r>
      <w:proofErr w:type="spellEnd"/>
      <w:r w:rsidR="004764D9" w:rsidRPr="004764D9">
        <w:t xml:space="preserve">’ continuous improvement </w:t>
      </w:r>
      <w:r w:rsidR="00CF4C08" w:rsidRPr="004764D9">
        <w:t>goals.</w:t>
      </w:r>
    </w:p>
    <w:p w14:paraId="19FADB8E" w14:textId="1742E90F" w:rsidR="0057556D" w:rsidRPr="00B9697B" w:rsidRDefault="0057556D" w:rsidP="00241DF4">
      <w:pPr>
        <w:pStyle w:val="PSubheading3"/>
        <w:ind w:left="450" w:hanging="450"/>
      </w:pPr>
      <w:bookmarkStart w:id="176" w:name="_Toc209082422"/>
      <w:bookmarkStart w:id="177" w:name="_Toc211632763"/>
      <w:bookmarkStart w:id="178" w:name="_Toc212236386"/>
      <w:r w:rsidRPr="00B9697B">
        <w:t>Risk</w:t>
      </w:r>
      <w:r w:rsidR="00A63AA5" w:rsidRPr="00B9697B">
        <w:t xml:space="preserve"> </w:t>
      </w:r>
      <w:bookmarkEnd w:id="176"/>
      <w:r w:rsidR="00A63AA5" w:rsidRPr="00B9697B">
        <w:t>Identification Process</w:t>
      </w:r>
      <w:bookmarkEnd w:id="177"/>
      <w:bookmarkEnd w:id="178"/>
    </w:p>
    <w:p w14:paraId="667FBC33" w14:textId="77777777" w:rsidR="00373E5A" w:rsidRPr="00865E66" w:rsidRDefault="00F64E82" w:rsidP="00865E66">
      <w:pPr>
        <w:pStyle w:val="PBodytext"/>
      </w:pPr>
      <w:r w:rsidRPr="00865E66">
        <w:t>Risks are captured through multiple channels: defect trends, change requests, vendor reports, and stakeholder feedback.</w:t>
      </w:r>
    </w:p>
    <w:p w14:paraId="33643898" w14:textId="47C745CB" w:rsidR="00F64E82" w:rsidRPr="00865E66" w:rsidRDefault="00F64E82" w:rsidP="00865E66">
      <w:pPr>
        <w:pStyle w:val="PBodytext"/>
      </w:pPr>
      <w:r w:rsidRPr="00865E66">
        <w:t>Each identified risk is logged in the QA Risk Register, categorized by probability and impact, and assigned an owner.</w:t>
      </w:r>
      <w:r w:rsidR="00083C9B">
        <w:t xml:space="preserve"> </w:t>
      </w:r>
      <w:r w:rsidR="00083C9B" w:rsidRPr="00083C9B">
        <w:t>Insights from AI-based dashboards and automation test analytics across vendor environments</w:t>
      </w:r>
      <w:r w:rsidR="00083C9B">
        <w:t xml:space="preserve">. </w:t>
      </w:r>
      <w:r w:rsidRPr="00865E66">
        <w:t>Risk categories include:</w:t>
      </w:r>
    </w:p>
    <w:p w14:paraId="26DBFFA7" w14:textId="77777777" w:rsidR="00F64E82" w:rsidRPr="00F5538A" w:rsidRDefault="00F64E82" w:rsidP="005F7AE5">
      <w:pPr>
        <w:pStyle w:val="PNumberlevel1"/>
        <w:numPr>
          <w:ilvl w:val="0"/>
          <w:numId w:val="19"/>
        </w:numPr>
      </w:pPr>
      <w:r w:rsidRPr="00B9697B">
        <w:rPr>
          <w:b/>
          <w:bCs/>
        </w:rPr>
        <w:t>Technical Risks</w:t>
      </w:r>
      <w:r w:rsidRPr="00F5538A">
        <w:t xml:space="preserve"> – Environment instability, integration failures, performance bottlenecks.</w:t>
      </w:r>
    </w:p>
    <w:p w14:paraId="60EB7ABD" w14:textId="77777777" w:rsidR="00F64E82" w:rsidRPr="00F5538A" w:rsidRDefault="00F64E82" w:rsidP="005F7AE5">
      <w:pPr>
        <w:pStyle w:val="PNumberlevel1"/>
        <w:numPr>
          <w:ilvl w:val="0"/>
          <w:numId w:val="19"/>
        </w:numPr>
      </w:pPr>
      <w:r w:rsidRPr="00B9697B">
        <w:rPr>
          <w:b/>
          <w:bCs/>
        </w:rPr>
        <w:t>Process Risks</w:t>
      </w:r>
      <w:r w:rsidRPr="00F5538A">
        <w:t xml:space="preserve"> – Inconsistent requirements or testing practices.</w:t>
      </w:r>
    </w:p>
    <w:p w14:paraId="3C882B24" w14:textId="77777777" w:rsidR="00937CA1" w:rsidRDefault="00F64E82" w:rsidP="005F7AE5">
      <w:pPr>
        <w:pStyle w:val="PNumberlevel1"/>
        <w:numPr>
          <w:ilvl w:val="0"/>
          <w:numId w:val="19"/>
        </w:numPr>
      </w:pPr>
      <w:r w:rsidRPr="00B9697B">
        <w:rPr>
          <w:b/>
          <w:bCs/>
        </w:rPr>
        <w:t>Resource Risks</w:t>
      </w:r>
      <w:r w:rsidRPr="00F5538A">
        <w:t xml:space="preserve"> – Staff turnover or skill gaps.</w:t>
      </w:r>
    </w:p>
    <w:p w14:paraId="0754E377" w14:textId="37CFDE19" w:rsidR="0057556D" w:rsidRDefault="00F64E82" w:rsidP="005F7AE5">
      <w:pPr>
        <w:pStyle w:val="PNumberlevel1"/>
        <w:numPr>
          <w:ilvl w:val="0"/>
          <w:numId w:val="19"/>
        </w:numPr>
      </w:pPr>
      <w:r w:rsidRPr="00B9697B">
        <w:rPr>
          <w:b/>
          <w:bCs/>
        </w:rPr>
        <w:t>External Risks</w:t>
      </w:r>
      <w:r w:rsidRPr="00F5538A">
        <w:t xml:space="preserve"> – Vendor dependency delays, legislative changes.</w:t>
      </w:r>
    </w:p>
    <w:p w14:paraId="5EA70553" w14:textId="03D56FAE" w:rsidR="0057556D" w:rsidRPr="00711816" w:rsidRDefault="00616B4E" w:rsidP="00241DF4">
      <w:pPr>
        <w:pStyle w:val="PSubheading3"/>
        <w:ind w:left="450" w:hanging="450"/>
      </w:pPr>
      <w:bookmarkStart w:id="179" w:name="_Toc209082423"/>
      <w:bookmarkStart w:id="180" w:name="_Toc211632764"/>
      <w:bookmarkStart w:id="181" w:name="_Toc212236387"/>
      <w:r w:rsidRPr="00711816">
        <w:t xml:space="preserve">Risk </w:t>
      </w:r>
      <w:bookmarkEnd w:id="179"/>
      <w:r w:rsidR="00B01DD9" w:rsidRPr="00711816">
        <w:t>Assessment and Prioritization</w:t>
      </w:r>
      <w:bookmarkEnd w:id="180"/>
      <w:bookmarkEnd w:id="181"/>
    </w:p>
    <w:p w14:paraId="3FE62409" w14:textId="08AF7145" w:rsidR="00833504" w:rsidRDefault="00833504" w:rsidP="00711816">
      <w:pPr>
        <w:pStyle w:val="PBodytext"/>
      </w:pPr>
      <w:r w:rsidRPr="00F5538A">
        <w:t>Quadrant uses a 5×5 probability-impact matrix to prioritize risks. High-impact</w:t>
      </w:r>
      <w:r w:rsidR="00CF4C08">
        <w:t xml:space="preserve"> </w:t>
      </w:r>
      <w:r w:rsidRPr="00F5538A">
        <w:t>/</w:t>
      </w:r>
      <w:r w:rsidR="00CF4C08">
        <w:t xml:space="preserve"> </w:t>
      </w:r>
      <w:r w:rsidRPr="00F5538A">
        <w:t>high</w:t>
      </w:r>
      <w:r w:rsidR="00CF4C08">
        <w:t>-</w:t>
      </w:r>
      <w:r w:rsidRPr="00F5538A">
        <w:t>probability items trigger immediate mitigation plans.</w:t>
      </w:r>
    </w:p>
    <w:p w14:paraId="144E07D1" w14:textId="77777777" w:rsidR="00A00093" w:rsidRDefault="00833504" w:rsidP="00711816">
      <w:pPr>
        <w:pStyle w:val="PBodytext"/>
      </w:pPr>
      <w:r w:rsidRPr="00F5538A">
        <w:t xml:space="preserve">Each risk entry </w:t>
      </w:r>
      <w:r w:rsidR="00A849B0" w:rsidRPr="00F5538A">
        <w:t>includes</w:t>
      </w:r>
      <w:r w:rsidRPr="00F5538A">
        <w:t xml:space="preserve"> root cause, likelihood, impact score, mitigation strategy, and residual risk rating.</w:t>
      </w:r>
    </w:p>
    <w:p w14:paraId="3611599D" w14:textId="2D3FF9B0" w:rsidR="00833504" w:rsidRPr="00F5538A" w:rsidRDefault="005A2D0E" w:rsidP="00711816">
      <w:pPr>
        <w:pStyle w:val="PBodytext"/>
      </w:pPr>
      <w:r w:rsidRPr="005A2D0E">
        <w:lastRenderedPageBreak/>
        <w:t>The QA Project Manager reviews the matrix bi-weekly with the CalSAWS QA Director, supported by Power BI–based dashboards for transparent leadership reporting</w:t>
      </w:r>
      <w:r w:rsidR="00833504" w:rsidRPr="00F5538A">
        <w:t>.</w:t>
      </w:r>
    </w:p>
    <w:p w14:paraId="19BB358F" w14:textId="1D40CDC3" w:rsidR="0057556D" w:rsidRPr="00711816" w:rsidRDefault="00D20634" w:rsidP="00241DF4">
      <w:pPr>
        <w:pStyle w:val="PSubheading3"/>
        <w:ind w:left="450" w:hanging="450"/>
      </w:pPr>
      <w:bookmarkStart w:id="182" w:name="_Toc211632765"/>
      <w:bookmarkStart w:id="183" w:name="_Toc212236388"/>
      <w:r w:rsidRPr="00711816">
        <w:t>Risk-Based Testing (RBT) Strategy</w:t>
      </w:r>
      <w:bookmarkEnd w:id="182"/>
      <w:bookmarkEnd w:id="183"/>
    </w:p>
    <w:p w14:paraId="25572525" w14:textId="22ED3E7C" w:rsidR="00A2681D" w:rsidRPr="00F5538A" w:rsidRDefault="00A2681D" w:rsidP="00711816">
      <w:pPr>
        <w:pStyle w:val="PBodytext"/>
      </w:pPr>
      <w:bookmarkStart w:id="184" w:name="_Toc209082425"/>
      <w:r w:rsidRPr="00F5538A">
        <w:t>Quadrant employs Risk-Based Testing to allocate testing effort proportionally to risk criticality.</w:t>
      </w:r>
      <w:r w:rsidR="006E68B4">
        <w:t xml:space="preserve"> </w:t>
      </w:r>
      <w:r w:rsidRPr="00F5538A">
        <w:t>Steps include:</w:t>
      </w:r>
    </w:p>
    <w:p w14:paraId="1B38B697" w14:textId="77777777" w:rsidR="00A2681D" w:rsidRPr="00F5538A" w:rsidRDefault="00A2681D" w:rsidP="005F7AE5">
      <w:pPr>
        <w:pStyle w:val="PNumberlevel1"/>
        <w:numPr>
          <w:ilvl w:val="0"/>
          <w:numId w:val="20"/>
        </w:numPr>
      </w:pPr>
      <w:r w:rsidRPr="006E68B4">
        <w:rPr>
          <w:b/>
          <w:bCs/>
        </w:rPr>
        <w:t>Business Impact Analysis</w:t>
      </w:r>
      <w:r w:rsidRPr="00F5538A">
        <w:t xml:space="preserve"> – Identify high-priority modules (e.g., Eligibility Determination, Benefits Issuance).</w:t>
      </w:r>
    </w:p>
    <w:p w14:paraId="69C17088" w14:textId="77777777" w:rsidR="00A2681D" w:rsidRPr="00F5538A" w:rsidRDefault="00A2681D" w:rsidP="005F7AE5">
      <w:pPr>
        <w:pStyle w:val="PNumberlevel1"/>
        <w:numPr>
          <w:ilvl w:val="0"/>
          <w:numId w:val="20"/>
        </w:numPr>
      </w:pPr>
      <w:r w:rsidRPr="006E68B4">
        <w:rPr>
          <w:b/>
          <w:bCs/>
        </w:rPr>
        <w:t>Volatility Assessment</w:t>
      </w:r>
      <w:r w:rsidRPr="00F5538A">
        <w:t xml:space="preserve"> – Track frequently changing components due to legislation or vendor updates.</w:t>
      </w:r>
    </w:p>
    <w:p w14:paraId="3D06FBA8" w14:textId="77777777" w:rsidR="00A2681D" w:rsidRPr="00F5538A" w:rsidRDefault="00A2681D" w:rsidP="005F7AE5">
      <w:pPr>
        <w:pStyle w:val="PNumberlevel1"/>
        <w:numPr>
          <w:ilvl w:val="0"/>
          <w:numId w:val="20"/>
        </w:numPr>
      </w:pPr>
      <w:r w:rsidRPr="006E68B4">
        <w:rPr>
          <w:b/>
          <w:bCs/>
        </w:rPr>
        <w:t>Historical Defect Analysis</w:t>
      </w:r>
      <w:r w:rsidRPr="00F5538A">
        <w:t xml:space="preserve"> – Analyze defect density and re-occurrence patterns.</w:t>
      </w:r>
    </w:p>
    <w:p w14:paraId="4FF1253C" w14:textId="77777777" w:rsidR="00A2681D" w:rsidRPr="00F5538A" w:rsidRDefault="00A2681D" w:rsidP="005F7AE5">
      <w:pPr>
        <w:pStyle w:val="PNumberlevel1"/>
        <w:numPr>
          <w:ilvl w:val="0"/>
          <w:numId w:val="20"/>
        </w:numPr>
      </w:pPr>
      <w:r w:rsidRPr="006E68B4">
        <w:rPr>
          <w:b/>
          <w:bCs/>
        </w:rPr>
        <w:t>Risk Weighting and Test Prioritization</w:t>
      </w:r>
      <w:r w:rsidRPr="00F5538A">
        <w:t xml:space="preserve"> – Allocate test effort and automation focus accordingly.</w:t>
      </w:r>
    </w:p>
    <w:p w14:paraId="41DEA40D" w14:textId="22089491" w:rsidR="00EC0156" w:rsidRPr="006E68B4" w:rsidRDefault="00C14A44" w:rsidP="006E68B4">
      <w:pPr>
        <w:pStyle w:val="PBodytext"/>
      </w:pPr>
      <w:r w:rsidRPr="00C14A44">
        <w:t>RBT outcomes are directly linked with automation prioritization, ensuring test coverage is continuously optimized for high-risk areas while reducing redundant manual effort</w:t>
      </w:r>
      <w:r>
        <w:t xml:space="preserve">. </w:t>
      </w:r>
      <w:r w:rsidR="00A2681D" w:rsidRPr="006E68B4">
        <w:t>This ensures that critical modules receive higher coverage and regression frequency, enhancing product stability while optimizing resource utilization.</w:t>
      </w:r>
    </w:p>
    <w:p w14:paraId="040864A5" w14:textId="37222CE1" w:rsidR="00B31BF5" w:rsidRPr="006E68B4" w:rsidRDefault="00B31BF5" w:rsidP="00241DF4">
      <w:pPr>
        <w:pStyle w:val="PSubheading3"/>
        <w:ind w:left="450" w:hanging="450"/>
      </w:pPr>
      <w:bookmarkStart w:id="185" w:name="_Toc211632766"/>
      <w:bookmarkStart w:id="186" w:name="_Toc212236389"/>
      <w:r w:rsidRPr="006E68B4">
        <w:t>Tools and Techniques for Risk Detection</w:t>
      </w:r>
      <w:bookmarkEnd w:id="185"/>
      <w:bookmarkEnd w:id="186"/>
    </w:p>
    <w:p w14:paraId="5109B760" w14:textId="77777777" w:rsidR="00B31BF5" w:rsidRPr="006E68B4" w:rsidRDefault="00B31BF5" w:rsidP="006E68B4">
      <w:pPr>
        <w:pStyle w:val="PBodytext"/>
      </w:pPr>
      <w:r w:rsidRPr="006E68B4">
        <w:t>Quadrant utilizes a combination of static and dynamic analysis tools for early risk identification:</w:t>
      </w:r>
    </w:p>
    <w:p w14:paraId="7CCCC8DF" w14:textId="77777777" w:rsidR="00B31BF5" w:rsidRPr="00F5538A" w:rsidRDefault="00B31BF5" w:rsidP="009255BB">
      <w:pPr>
        <w:pStyle w:val="PBulletlevel1"/>
      </w:pPr>
      <w:r w:rsidRPr="00F5538A">
        <w:rPr>
          <w:b/>
          <w:bCs/>
        </w:rPr>
        <w:t>SonarQube</w:t>
      </w:r>
      <w:r w:rsidRPr="00F5538A">
        <w:t xml:space="preserve"> for code quality and vulnerability analysis.</w:t>
      </w:r>
    </w:p>
    <w:p w14:paraId="5742FB89" w14:textId="77777777" w:rsidR="00B31BF5" w:rsidRPr="00F5538A" w:rsidRDefault="00B31BF5" w:rsidP="009255BB">
      <w:pPr>
        <w:pStyle w:val="PBulletlevel1"/>
      </w:pPr>
      <w:r w:rsidRPr="00F5538A">
        <w:rPr>
          <w:b/>
          <w:bCs/>
        </w:rPr>
        <w:t>Dynatrace / New Relic</w:t>
      </w:r>
      <w:r w:rsidRPr="00F5538A">
        <w:t xml:space="preserve"> for application performance monitoring.</w:t>
      </w:r>
    </w:p>
    <w:p w14:paraId="3FB89F98" w14:textId="77777777" w:rsidR="00B31BF5" w:rsidRPr="00F5538A" w:rsidRDefault="00B31BF5" w:rsidP="009255BB">
      <w:pPr>
        <w:pStyle w:val="PBulletlevel1"/>
      </w:pPr>
      <w:r w:rsidRPr="00F5538A">
        <w:rPr>
          <w:b/>
          <w:bCs/>
        </w:rPr>
        <w:t>TestRail Coverage Reports</w:t>
      </w:r>
      <w:r w:rsidRPr="00F5538A">
        <w:t xml:space="preserve"> for identifying low-coverage areas.</w:t>
      </w:r>
    </w:p>
    <w:p w14:paraId="28CF687B" w14:textId="77777777" w:rsidR="00B31BF5" w:rsidRPr="00F5538A" w:rsidRDefault="00B31BF5" w:rsidP="009255BB">
      <w:pPr>
        <w:pStyle w:val="PBulletlevel1"/>
      </w:pPr>
      <w:r w:rsidRPr="00F5538A">
        <w:rPr>
          <w:b/>
          <w:bCs/>
        </w:rPr>
        <w:t>Defect Heatmaps</w:t>
      </w:r>
      <w:r w:rsidRPr="00F5538A">
        <w:t xml:space="preserve"> to visualize risk clusters by module.</w:t>
      </w:r>
    </w:p>
    <w:p w14:paraId="37E7FD7E" w14:textId="77777777" w:rsidR="00B31BF5" w:rsidRDefault="00B31BF5" w:rsidP="009255BB">
      <w:pPr>
        <w:pStyle w:val="PBulletlevel1"/>
      </w:pPr>
      <w:r w:rsidRPr="3B6D0139">
        <w:rPr>
          <w:b/>
          <w:bCs/>
        </w:rPr>
        <w:t>Impact Mapping</w:t>
      </w:r>
      <w:r>
        <w:t xml:space="preserve"> to trace regulatory changes to affected components.</w:t>
      </w:r>
    </w:p>
    <w:p w14:paraId="58C4A567" w14:textId="77777777" w:rsidR="00E43D71" w:rsidRDefault="00E43D71" w:rsidP="009255BB">
      <w:pPr>
        <w:pStyle w:val="PBulletlevel1"/>
      </w:pPr>
      <w:r w:rsidRPr="00E43D71">
        <w:rPr>
          <w:b/>
          <w:bCs/>
        </w:rPr>
        <w:t>Power BI dashboards</w:t>
      </w:r>
      <w:r w:rsidRPr="00E43D71">
        <w:t xml:space="preserve"> for visual risk trends and leadership transparency.</w:t>
      </w:r>
    </w:p>
    <w:p w14:paraId="3CF355C6" w14:textId="2E7FD0B8" w:rsidR="00E43D71" w:rsidRPr="00F5538A" w:rsidRDefault="00E43D71" w:rsidP="009255BB">
      <w:pPr>
        <w:pStyle w:val="PBulletlevel1"/>
      </w:pPr>
      <w:r w:rsidRPr="00E43D71">
        <w:rPr>
          <w:b/>
          <w:bCs/>
        </w:rPr>
        <w:t>AI/ML-based predictive insights</w:t>
      </w:r>
      <w:r w:rsidRPr="00E43D71">
        <w:t xml:space="preserve"> to identify modules with recurring defect </w:t>
      </w:r>
      <w:r w:rsidR="00CF4C08" w:rsidRPr="00E43D71">
        <w:t>density.</w:t>
      </w:r>
    </w:p>
    <w:p w14:paraId="3B6D3529" w14:textId="35207BE5" w:rsidR="0057556D" w:rsidRPr="009255BB" w:rsidRDefault="00690D4E" w:rsidP="00241DF4">
      <w:pPr>
        <w:pStyle w:val="PSubheading3"/>
        <w:ind w:left="450" w:hanging="450"/>
      </w:pPr>
      <w:bookmarkStart w:id="187" w:name="_Toc211632767"/>
      <w:bookmarkStart w:id="188" w:name="_Toc212236390"/>
      <w:bookmarkEnd w:id="184"/>
      <w:r w:rsidRPr="009255BB">
        <w:t>Collaboration with Stakeholders</w:t>
      </w:r>
      <w:bookmarkEnd w:id="187"/>
      <w:bookmarkEnd w:id="188"/>
    </w:p>
    <w:p w14:paraId="2E59A962" w14:textId="77777777" w:rsidR="00CE600B" w:rsidRPr="009255BB" w:rsidRDefault="00CE600B" w:rsidP="009255BB">
      <w:pPr>
        <w:pStyle w:val="PBodytext"/>
      </w:pPr>
      <w:r w:rsidRPr="009255BB">
        <w:t>Risk management is a shared responsibility. Quadrant conducts joint risk workshops with CalSAWS and vendor teams every quarter.</w:t>
      </w:r>
    </w:p>
    <w:p w14:paraId="680A02E7" w14:textId="76CF0BBC" w:rsidR="0057556D" w:rsidRPr="009255BB" w:rsidRDefault="00CE600B" w:rsidP="009255BB">
      <w:pPr>
        <w:pStyle w:val="PBodytext"/>
      </w:pPr>
      <w:r w:rsidRPr="009255BB">
        <w:t>Outputs include a prioritized risk register and joint action plan. Additionally, a Business Rule Traceability Matrix (BRTM) is maintained to link policy changes to test coverage areas.</w:t>
      </w:r>
      <w:r w:rsidR="002E3D68">
        <w:t xml:space="preserve"> </w:t>
      </w:r>
      <w:r w:rsidR="002E3D68" w:rsidRPr="002E3D68">
        <w:t xml:space="preserve">Quadrant’s approach of “Collaboration without Compromise” ensures that while QA works jointly with CalSAWS and vendor teams, risk evaluation remains fully independent and </w:t>
      </w:r>
      <w:r w:rsidR="00CF4C08" w:rsidRPr="002E3D68">
        <w:t>objective.</w:t>
      </w:r>
    </w:p>
    <w:p w14:paraId="0C8E546A" w14:textId="3A3DD6F6" w:rsidR="00C126F9" w:rsidRPr="009255BB" w:rsidRDefault="00C126F9" w:rsidP="00241DF4">
      <w:pPr>
        <w:pStyle w:val="PSubheading3"/>
        <w:ind w:left="450" w:hanging="450"/>
      </w:pPr>
      <w:bookmarkStart w:id="189" w:name="_Toc211632768"/>
      <w:bookmarkStart w:id="190" w:name="_Toc212236391"/>
      <w:r w:rsidRPr="009255BB">
        <w:t>Automation and Monitoring for Early Detection</w:t>
      </w:r>
      <w:bookmarkEnd w:id="189"/>
      <w:bookmarkEnd w:id="190"/>
    </w:p>
    <w:p w14:paraId="5E4A35BA" w14:textId="477B4635" w:rsidR="000A5FD6" w:rsidRPr="009255BB" w:rsidRDefault="00495442" w:rsidP="009255BB">
      <w:pPr>
        <w:pStyle w:val="PBodytext"/>
      </w:pPr>
      <w:r w:rsidRPr="00495442">
        <w:t>Automated smoke and sanity tests, integrated into CI/CD pipelines, run post-deployment to identify critical failures within minutes</w:t>
      </w:r>
      <w:r w:rsidR="00C126F9" w:rsidRPr="009255BB">
        <w:t>. AI/ML-based predictive analytics evaluate historical defect patterns to forecast risk zones for upcoming releases.</w:t>
      </w:r>
    </w:p>
    <w:p w14:paraId="4B493050" w14:textId="32601CC3" w:rsidR="00C126F9" w:rsidRPr="009255BB" w:rsidRDefault="00C126F9" w:rsidP="009255BB">
      <w:pPr>
        <w:pStyle w:val="PBodytext"/>
      </w:pPr>
      <w:r>
        <w:lastRenderedPageBreak/>
        <w:t>Performance degradation is monitored in real time using threshold alerts on Dynatrace dashboards.</w:t>
      </w:r>
      <w:r w:rsidR="00495442">
        <w:t xml:space="preserve"> </w:t>
      </w:r>
      <w:r w:rsidR="00495442" w:rsidRPr="00495442">
        <w:t>Real-time alerts and Dynatrace dashboards provide near-instant visibility to CalSAWS leadership, enhancing proactive decision-making</w:t>
      </w:r>
      <w:r w:rsidR="00495442">
        <w:t>.</w:t>
      </w:r>
    </w:p>
    <w:p w14:paraId="7C70F9F1" w14:textId="716C5BE1" w:rsidR="00C126F9" w:rsidRPr="009255BB" w:rsidRDefault="00C126F9" w:rsidP="00241DF4">
      <w:pPr>
        <w:pStyle w:val="PSubheading3"/>
        <w:ind w:left="450" w:hanging="450"/>
      </w:pPr>
      <w:bookmarkStart w:id="191" w:name="_Toc211632769"/>
      <w:bookmarkStart w:id="192" w:name="_Toc212236392"/>
      <w:r w:rsidRPr="009255BB">
        <w:t>Continuous Risk Re-Assessment</w:t>
      </w:r>
      <w:bookmarkEnd w:id="191"/>
      <w:bookmarkEnd w:id="192"/>
    </w:p>
    <w:p w14:paraId="19647CBF" w14:textId="77777777" w:rsidR="000760CC" w:rsidRPr="009255BB" w:rsidRDefault="00C126F9" w:rsidP="009255BB">
      <w:pPr>
        <w:pStyle w:val="PBodytext"/>
      </w:pPr>
      <w:r w:rsidRPr="009255BB">
        <w:t>Risk management is not a one-time exercise. Quadrant conducts sprint-level risk reviews to update the Risk Register and adjust testing focus. Regression impact analysis is performed after each release to assess new risk introductions.</w:t>
      </w:r>
    </w:p>
    <w:p w14:paraId="15319D65" w14:textId="2AF7D59E" w:rsidR="00C126F9" w:rsidRPr="009255BB" w:rsidRDefault="00C126F9" w:rsidP="009255BB">
      <w:pPr>
        <w:pStyle w:val="PBodytext"/>
      </w:pPr>
      <w:r w:rsidRPr="009255BB">
        <w:t>Post-release retrospectives capture lessons learned to refine the RBT model continuously.</w:t>
      </w:r>
      <w:r w:rsidR="00A7375B">
        <w:t xml:space="preserve"> </w:t>
      </w:r>
      <w:r w:rsidR="00A7375B" w:rsidRPr="00A7375B">
        <w:t>Risk feedback loops are automated through AI-driven analytics, dynamically adjusting regression priorities and enhancing accuracy over successive releases</w:t>
      </w:r>
      <w:r w:rsidR="00A7375B">
        <w:t>.</w:t>
      </w:r>
    </w:p>
    <w:p w14:paraId="0129DFC2" w14:textId="650DAFA3" w:rsidR="00C126F9" w:rsidRPr="00A35E71" w:rsidRDefault="00C126F9" w:rsidP="00241DF4">
      <w:pPr>
        <w:pStyle w:val="PSubheading3"/>
        <w:ind w:left="450" w:hanging="450"/>
      </w:pPr>
      <w:bookmarkStart w:id="193" w:name="_Toc211632770"/>
      <w:bookmarkStart w:id="194" w:name="_Toc212236393"/>
      <w:r w:rsidRPr="00A35E71">
        <w:t>Reporting and Escalation</w:t>
      </w:r>
      <w:bookmarkEnd w:id="193"/>
      <w:bookmarkEnd w:id="194"/>
    </w:p>
    <w:p w14:paraId="1B45C9F9" w14:textId="77777777" w:rsidR="00B73E4B" w:rsidRPr="00A35E71" w:rsidRDefault="00C126F9" w:rsidP="00A35E71">
      <w:pPr>
        <w:pStyle w:val="PBodytext"/>
      </w:pPr>
      <w:r w:rsidRPr="00A35E71">
        <w:t>All high-severity risks are reported in weekly QA Status Reports and escalated through the QA Governance channel to the PSC.</w:t>
      </w:r>
    </w:p>
    <w:p w14:paraId="3E79C80E" w14:textId="0F827817" w:rsidR="00C126F9" w:rsidRPr="00A35E71" w:rsidRDefault="00C126F9" w:rsidP="00A35E71">
      <w:pPr>
        <w:pStyle w:val="PBodytext"/>
      </w:pPr>
      <w:r>
        <w:t>Quadrant’s Risk Manager tracks mitigation status and prepares monthly risk trend charts shared with the CalSAWS Executive Oversight Board.</w:t>
      </w:r>
    </w:p>
    <w:p w14:paraId="1ECCD226" w14:textId="5917E571" w:rsidR="00C126F9" w:rsidRPr="00A35E71" w:rsidRDefault="00C126F9" w:rsidP="00B44A5C">
      <w:pPr>
        <w:pStyle w:val="PSubheading3"/>
        <w:ind w:left="270" w:hanging="270"/>
      </w:pPr>
      <w:bookmarkStart w:id="195" w:name="_Toc211632771"/>
      <w:bookmarkStart w:id="196" w:name="_Toc212236394"/>
      <w:r w:rsidRPr="00A35E71">
        <w:t>Risk Closure and Lessons Learned</w:t>
      </w:r>
      <w:bookmarkEnd w:id="195"/>
      <w:bookmarkEnd w:id="196"/>
    </w:p>
    <w:p w14:paraId="7059E533" w14:textId="77777777" w:rsidR="00E72728" w:rsidRPr="00A35E71" w:rsidRDefault="00C126F9" w:rsidP="00A35E71">
      <w:pPr>
        <w:pStyle w:val="PBodytext"/>
      </w:pPr>
      <w:r w:rsidRPr="00A35E71">
        <w:t>When a risk is successfully mitigated, the closure criteria are validated by both the QA Project Manager and CalSAWS QA Director.</w:t>
      </w:r>
    </w:p>
    <w:p w14:paraId="255DC881" w14:textId="3F2ABD90" w:rsidR="00D5755A" w:rsidRPr="00A35E71" w:rsidRDefault="00A7375B" w:rsidP="00A35E71">
      <w:pPr>
        <w:pStyle w:val="PBodytext"/>
      </w:pPr>
      <w:r>
        <w:t xml:space="preserve"> </w:t>
      </w:r>
      <w:r w:rsidRPr="00A7375B">
        <w:t>Lessons learned are fed into Quadrant’s AI-driven QA repository, continuously improving predictive accuracy and future risk modeling.</w:t>
      </w:r>
    </w:p>
    <w:p w14:paraId="577E10BC" w14:textId="5AEEA30E" w:rsidR="00970659" w:rsidRDefault="00970659" w:rsidP="00F84618">
      <w:pPr>
        <w:pStyle w:val="PSubheading2"/>
        <w:numPr>
          <w:ilvl w:val="0"/>
          <w:numId w:val="11"/>
        </w:numPr>
        <w:ind w:left="360"/>
      </w:pPr>
      <w:bookmarkStart w:id="197" w:name="_Toc212236395"/>
      <w:bookmarkStart w:id="198" w:name="_Toc212369228"/>
      <w:bookmarkStart w:id="199" w:name="_Toc212369299"/>
      <w:r w:rsidRPr="00A158B3">
        <w:t>C</w:t>
      </w:r>
      <w:r>
        <w:t>o</w:t>
      </w:r>
      <w:r w:rsidRPr="00A158B3">
        <w:t>nclusion</w:t>
      </w:r>
      <w:r>
        <w:t>:</w:t>
      </w:r>
      <w:bookmarkEnd w:id="197"/>
      <w:bookmarkEnd w:id="198"/>
      <w:bookmarkEnd w:id="199"/>
    </w:p>
    <w:p w14:paraId="0C484E3C" w14:textId="77777777" w:rsidR="003849A0" w:rsidRDefault="003849A0" w:rsidP="003849A0">
      <w:pPr>
        <w:pStyle w:val="PBodytext"/>
      </w:pPr>
      <w:r>
        <w:t>Quadrant’s staffing approach is not only resource-driven but purpose-driven, built on the principle that people, processes, and technology must operate in harmony to create lasting public value. By fusing human expertise, automation intelligence, and AI-assisted quality frameworks, Quadrant delivers a data-informed, outcome-oriented QA and IV&amp;V model tailored for CalSAWS’ complex and evolving environment.</w:t>
      </w:r>
    </w:p>
    <w:p w14:paraId="6268FC4C" w14:textId="11FD83D8" w:rsidR="003849A0" w:rsidRDefault="003849A0" w:rsidP="003849A0">
      <w:pPr>
        <w:pStyle w:val="PBodytext"/>
      </w:pPr>
      <w:r>
        <w:t>Beyond traditional staffing, Quadrant embeds continuous innovation and accountability into every engagement phase; from onboarding and skills enablement to automated validation and proactive risk detection. Every Quadrant professional is empowered not just to perform tasks, but to drive transformation through insight, efficiency, and measurable quality improvement.</w:t>
      </w:r>
    </w:p>
    <w:p w14:paraId="6FE81C94" w14:textId="5B22BC85" w:rsidR="00970659" w:rsidRDefault="003849A0" w:rsidP="003849A0">
      <w:pPr>
        <w:pStyle w:val="PBodytext"/>
      </w:pPr>
      <w:r>
        <w:t>This purpose-led approach ensures that CalSAWS benefits from a high-performing, mission-aligned workforce that is technically exceptional and deeply committed to advancing equitable access to services for Californians. Through our collaborative partnership model, Quadrant transforms staffing into a strategic enabler of innovation, resilience, and trust — helping CalSAWS deliver reliable, secure, and future-ready public services while maintaining the highest standards of quality and governance</w:t>
      </w:r>
      <w:r w:rsidR="00970659" w:rsidRPr="001656F1">
        <w:t>.</w:t>
      </w:r>
    </w:p>
    <w:p w14:paraId="70AC42A5" w14:textId="77777777" w:rsidR="00DE38AE" w:rsidRDefault="00DE38AE">
      <w:r>
        <w:br w:type="page"/>
      </w:r>
    </w:p>
    <w:tbl>
      <w:tblPr>
        <w:tblW w:w="9330" w:type="dxa"/>
        <w:tblInd w:w="-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9"/>
        <w:gridCol w:w="8431"/>
      </w:tblGrid>
      <w:tr w:rsidR="00706B60" w:rsidRPr="00706B60" w14:paraId="3C78CAE7" w14:textId="77777777" w:rsidTr="00706B60">
        <w:trPr>
          <w:trHeight w:val="300"/>
        </w:trPr>
        <w:tc>
          <w:tcPr>
            <w:tcW w:w="899" w:type="dxa"/>
            <w:tcBorders>
              <w:top w:val="single" w:sz="24" w:space="0" w:color="FFFFFF"/>
              <w:left w:val="single" w:sz="24" w:space="0" w:color="FFFFFF"/>
              <w:bottom w:val="single" w:sz="24" w:space="0" w:color="FFFFFF"/>
              <w:right w:val="single" w:sz="24" w:space="0" w:color="FFFFFF"/>
            </w:tcBorders>
            <w:shd w:val="clear" w:color="auto" w:fill="DDDDDD"/>
            <w:hideMark/>
          </w:tcPr>
          <w:p w14:paraId="2B5ACACE" w14:textId="0AF9EF1A" w:rsidR="00706B60" w:rsidRPr="002B36BF" w:rsidRDefault="00706B60" w:rsidP="002B36BF">
            <w:pPr>
              <w:pStyle w:val="PBodytext"/>
              <w:jc w:val="center"/>
              <w:rPr>
                <w:sz w:val="20"/>
                <w:szCs w:val="18"/>
                <w:lang w:val="en-GB"/>
              </w:rPr>
            </w:pPr>
            <w:r w:rsidRPr="002B36BF">
              <w:rPr>
                <w:sz w:val="20"/>
                <w:szCs w:val="18"/>
              </w:rPr>
              <w:lastRenderedPageBreak/>
              <w:t>Req#</w:t>
            </w:r>
          </w:p>
        </w:tc>
        <w:tc>
          <w:tcPr>
            <w:tcW w:w="8431" w:type="dxa"/>
            <w:tcBorders>
              <w:top w:val="single" w:sz="24" w:space="0" w:color="FFFFFF"/>
              <w:left w:val="single" w:sz="24" w:space="0" w:color="FFFFFF"/>
              <w:bottom w:val="single" w:sz="24" w:space="0" w:color="FFFFFF"/>
              <w:right w:val="single" w:sz="24" w:space="0" w:color="FFFFFF"/>
            </w:tcBorders>
            <w:shd w:val="clear" w:color="auto" w:fill="DDDDDD"/>
            <w:hideMark/>
          </w:tcPr>
          <w:p w14:paraId="55230B63" w14:textId="31566CAC" w:rsidR="00706B60" w:rsidRPr="002B36BF" w:rsidRDefault="00706B60" w:rsidP="002B36BF">
            <w:pPr>
              <w:pStyle w:val="PBodytext"/>
              <w:jc w:val="center"/>
              <w:rPr>
                <w:sz w:val="20"/>
                <w:szCs w:val="18"/>
                <w:lang w:val="en-GB"/>
              </w:rPr>
            </w:pPr>
            <w:r w:rsidRPr="002B36BF">
              <w:rPr>
                <w:sz w:val="20"/>
                <w:szCs w:val="18"/>
              </w:rPr>
              <w:t>Mandatory Qualification</w:t>
            </w:r>
          </w:p>
        </w:tc>
      </w:tr>
      <w:tr w:rsidR="00706B60" w:rsidRPr="00706B60" w14:paraId="5DAD11A9" w14:textId="77777777" w:rsidTr="00706B60">
        <w:trPr>
          <w:trHeight w:val="300"/>
        </w:trPr>
        <w:tc>
          <w:tcPr>
            <w:tcW w:w="899" w:type="dxa"/>
            <w:tcBorders>
              <w:top w:val="single" w:sz="24" w:space="0" w:color="FFFFFF"/>
              <w:left w:val="single" w:sz="24" w:space="0" w:color="FFFFFF"/>
              <w:bottom w:val="single" w:sz="24" w:space="0" w:color="FFFFFF"/>
              <w:right w:val="single" w:sz="24" w:space="0" w:color="FFFFFF"/>
            </w:tcBorders>
            <w:shd w:val="clear" w:color="auto" w:fill="DDECEE"/>
            <w:hideMark/>
          </w:tcPr>
          <w:p w14:paraId="010CD604" w14:textId="73DF8652" w:rsidR="00706B60" w:rsidRPr="002B36BF" w:rsidRDefault="002B36BF" w:rsidP="00706B60">
            <w:pPr>
              <w:pStyle w:val="PBodytext"/>
              <w:rPr>
                <w:sz w:val="20"/>
                <w:szCs w:val="18"/>
                <w:lang w:val="en-GB"/>
              </w:rPr>
            </w:pPr>
            <w:r>
              <w:rPr>
                <w:sz w:val="20"/>
                <w:szCs w:val="18"/>
              </w:rPr>
              <w:t xml:space="preserve"> </w:t>
            </w:r>
            <w:r w:rsidR="00706B60" w:rsidRPr="002B36BF">
              <w:rPr>
                <w:sz w:val="20"/>
                <w:szCs w:val="18"/>
              </w:rPr>
              <w:t>S2</w:t>
            </w:r>
            <w:r w:rsidR="00706B60" w:rsidRPr="002B36BF">
              <w:rPr>
                <w:sz w:val="20"/>
                <w:szCs w:val="18"/>
                <w:lang w:val="en-GB"/>
              </w:rPr>
              <w:t> </w:t>
            </w:r>
          </w:p>
        </w:tc>
        <w:tc>
          <w:tcPr>
            <w:tcW w:w="8431" w:type="dxa"/>
            <w:tcBorders>
              <w:top w:val="single" w:sz="24" w:space="0" w:color="FFFFFF"/>
              <w:left w:val="single" w:sz="24" w:space="0" w:color="FFFFFF"/>
              <w:bottom w:val="single" w:sz="24" w:space="0" w:color="FFFFFF"/>
              <w:right w:val="single" w:sz="24" w:space="0" w:color="FFFFFF"/>
            </w:tcBorders>
            <w:shd w:val="clear" w:color="auto" w:fill="DDECEE"/>
            <w:hideMark/>
          </w:tcPr>
          <w:p w14:paraId="647AFF9D" w14:textId="77777777" w:rsidR="00706B60" w:rsidRPr="002B36BF" w:rsidRDefault="00706B60" w:rsidP="002B36BF">
            <w:pPr>
              <w:pStyle w:val="PBodytext"/>
              <w:ind w:left="60"/>
              <w:rPr>
                <w:sz w:val="20"/>
                <w:szCs w:val="18"/>
                <w:lang w:val="en-GB"/>
              </w:rPr>
            </w:pPr>
            <w:r w:rsidRPr="002B36BF">
              <w:rPr>
                <w:sz w:val="20"/>
                <w:szCs w:val="18"/>
              </w:rPr>
              <w:t>The Bidder will complete Attachment 12 – Staff Loading Worksheets indicating the roles and level of effort (hours) to provide QA Services.</w:t>
            </w:r>
            <w:r w:rsidRPr="002B36BF">
              <w:rPr>
                <w:sz w:val="20"/>
                <w:szCs w:val="18"/>
                <w:lang w:val="en-GB"/>
              </w:rPr>
              <w:t> </w:t>
            </w:r>
          </w:p>
        </w:tc>
      </w:tr>
    </w:tbl>
    <w:p w14:paraId="329BCEC3" w14:textId="77777777" w:rsidR="00706B60" w:rsidRPr="00706B60" w:rsidRDefault="00706B60" w:rsidP="00706B60">
      <w:pPr>
        <w:pStyle w:val="PSubheading2"/>
        <w:rPr>
          <w:lang w:val="en-GB"/>
        </w:rPr>
      </w:pPr>
      <w:bookmarkStart w:id="200" w:name="_Toc212369229"/>
      <w:bookmarkStart w:id="201" w:name="_Toc212369300"/>
      <w:r w:rsidRPr="00706B60">
        <w:t>Attachment 12: Staff Loading Schedule</w:t>
      </w:r>
      <w:bookmarkEnd w:id="200"/>
      <w:bookmarkEnd w:id="201"/>
      <w:r w:rsidRPr="00706B60">
        <w:rPr>
          <w:lang w:val="en-GB"/>
        </w:rPr>
        <w:t> </w:t>
      </w:r>
    </w:p>
    <w:p w14:paraId="67F65A28" w14:textId="5420D6EC" w:rsidR="00706B60" w:rsidRPr="005A20C9" w:rsidRDefault="00706B60" w:rsidP="003849A0">
      <w:pPr>
        <w:pStyle w:val="PBodytext"/>
        <w:rPr>
          <w:lang w:val="en-GB"/>
        </w:rPr>
      </w:pPr>
      <w:r w:rsidRPr="00706B60">
        <w:t xml:space="preserve">Attachment 12 – Staff Loading Worksheets outlines the </w:t>
      </w:r>
      <w:r>
        <w:t>Quadrant</w:t>
      </w:r>
      <w:r w:rsidRPr="00706B60">
        <w:t xml:space="preserve"> QA Team roles and level of effort (hours) for QA Services.</w:t>
      </w:r>
      <w:r w:rsidRPr="00706B60">
        <w:rPr>
          <w:lang w:val="en-GB"/>
        </w:rPr>
        <w:t> </w:t>
      </w:r>
    </w:p>
    <w:sectPr w:rsidR="00706B60" w:rsidRPr="005A20C9" w:rsidSect="00B879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2DD5B" w14:textId="77777777" w:rsidR="005A5D21" w:rsidRDefault="005A5D21" w:rsidP="002F103E">
      <w:pPr>
        <w:spacing w:after="0" w:line="240" w:lineRule="auto"/>
      </w:pPr>
      <w:r>
        <w:separator/>
      </w:r>
    </w:p>
  </w:endnote>
  <w:endnote w:type="continuationSeparator" w:id="0">
    <w:p w14:paraId="3E67186B" w14:textId="77777777" w:rsidR="005A5D21" w:rsidRDefault="005A5D21" w:rsidP="002F1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449458852"/>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73B3AE6F" w14:textId="142D1E97" w:rsidR="00CE302C" w:rsidRPr="00130CA8" w:rsidRDefault="00130CA8" w:rsidP="00130CA8">
            <w:pPr>
              <w:pStyle w:val="Footer"/>
              <w:jc w:val="right"/>
              <w:rPr>
                <w:sz w:val="18"/>
                <w:szCs w:val="18"/>
              </w:rPr>
            </w:pPr>
            <w:r w:rsidRPr="00C62892">
              <w:rPr>
                <w:noProof/>
                <w:sz w:val="18"/>
                <w:szCs w:val="18"/>
              </w:rPr>
              <w:drawing>
                <wp:anchor distT="0" distB="0" distL="114300" distR="114300" simplePos="0" relativeHeight="251659264" behindDoc="0" locked="0" layoutInCell="1" allowOverlap="1" wp14:anchorId="3328590B" wp14:editId="2DECBE48">
                  <wp:simplePos x="0" y="0"/>
                  <wp:positionH relativeFrom="margin">
                    <wp:align>left</wp:align>
                  </wp:positionH>
                  <wp:positionV relativeFrom="paragraph">
                    <wp:posOffset>-60325</wp:posOffset>
                  </wp:positionV>
                  <wp:extent cx="1200150" cy="265430"/>
                  <wp:effectExtent l="0" t="0" r="0" b="1270"/>
                  <wp:wrapSquare wrapText="bothSides"/>
                  <wp:docPr id="445160949" name="Picture 1" descr="A purpl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666466" name="Picture 1" descr="A purple text on a white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00150" cy="265430"/>
                          </a:xfrm>
                          <a:prstGeom prst="rect">
                            <a:avLst/>
                          </a:prstGeom>
                        </pic:spPr>
                      </pic:pic>
                    </a:graphicData>
                  </a:graphic>
                  <wp14:sizeRelH relativeFrom="margin">
                    <wp14:pctWidth>0</wp14:pctWidth>
                  </wp14:sizeRelH>
                  <wp14:sizeRelV relativeFrom="margin">
                    <wp14:pctHeight>0</wp14:pctHeight>
                  </wp14:sizeRelV>
                </wp:anchor>
              </w:drawing>
            </w:r>
            <w:r w:rsidRPr="00E2191D">
              <w:rPr>
                <w:sz w:val="18"/>
                <w:szCs w:val="18"/>
              </w:rPr>
              <w:t xml:space="preserve">Page </w:t>
            </w:r>
            <w:r w:rsidRPr="00E2191D">
              <w:rPr>
                <w:b/>
                <w:bCs/>
                <w:sz w:val="18"/>
                <w:szCs w:val="18"/>
              </w:rPr>
              <w:fldChar w:fldCharType="begin"/>
            </w:r>
            <w:r w:rsidRPr="00E2191D">
              <w:rPr>
                <w:b/>
                <w:bCs/>
                <w:sz w:val="18"/>
                <w:szCs w:val="18"/>
              </w:rPr>
              <w:instrText xml:space="preserve"> PAGE </w:instrText>
            </w:r>
            <w:r w:rsidRPr="00E2191D">
              <w:rPr>
                <w:b/>
                <w:bCs/>
                <w:sz w:val="18"/>
                <w:szCs w:val="18"/>
              </w:rPr>
              <w:fldChar w:fldCharType="separate"/>
            </w:r>
            <w:r>
              <w:rPr>
                <w:b/>
                <w:bCs/>
                <w:sz w:val="18"/>
                <w:szCs w:val="18"/>
              </w:rPr>
              <w:t>1</w:t>
            </w:r>
            <w:r w:rsidRPr="00E2191D">
              <w:rPr>
                <w:b/>
                <w:bCs/>
                <w:sz w:val="18"/>
                <w:szCs w:val="18"/>
              </w:rPr>
              <w:fldChar w:fldCharType="end"/>
            </w:r>
            <w:r w:rsidRPr="00E2191D">
              <w:rPr>
                <w:sz w:val="18"/>
                <w:szCs w:val="18"/>
              </w:rPr>
              <w:t xml:space="preserve"> of </w:t>
            </w:r>
            <w:r w:rsidRPr="00E2191D">
              <w:rPr>
                <w:b/>
                <w:bCs/>
                <w:sz w:val="18"/>
                <w:szCs w:val="18"/>
              </w:rPr>
              <w:fldChar w:fldCharType="begin"/>
            </w:r>
            <w:r w:rsidRPr="00E2191D">
              <w:rPr>
                <w:b/>
                <w:bCs/>
                <w:sz w:val="18"/>
                <w:szCs w:val="18"/>
              </w:rPr>
              <w:instrText xml:space="preserve"> NUMPAGES  </w:instrText>
            </w:r>
            <w:r w:rsidRPr="00E2191D">
              <w:rPr>
                <w:b/>
                <w:bCs/>
                <w:sz w:val="18"/>
                <w:szCs w:val="18"/>
              </w:rPr>
              <w:fldChar w:fldCharType="separate"/>
            </w:r>
            <w:r>
              <w:rPr>
                <w:b/>
                <w:bCs/>
                <w:sz w:val="18"/>
                <w:szCs w:val="18"/>
              </w:rPr>
              <w:t>20</w:t>
            </w:r>
            <w:r w:rsidRPr="00E2191D">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94037" w14:textId="77777777" w:rsidR="005A5D21" w:rsidRDefault="005A5D21" w:rsidP="002F103E">
      <w:pPr>
        <w:spacing w:after="0" w:line="240" w:lineRule="auto"/>
      </w:pPr>
      <w:r>
        <w:separator/>
      </w:r>
    </w:p>
  </w:footnote>
  <w:footnote w:type="continuationSeparator" w:id="0">
    <w:p w14:paraId="4CEBD131" w14:textId="77777777" w:rsidR="005A5D21" w:rsidRDefault="005A5D21" w:rsidP="002F1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5F7D" w14:textId="77777777" w:rsidR="00CE302C" w:rsidRPr="002F103E" w:rsidRDefault="00CE302C">
    <w:pPr>
      <w:pStyle w:val="Header"/>
      <w:rPr>
        <w:b/>
        <w:sz w:val="18"/>
      </w:rPr>
    </w:pPr>
    <w:r>
      <w:rPr>
        <w:b/>
        <w:sz w:val="18"/>
      </w:rPr>
      <w:t>California Statewide Automated Welfare System (</w:t>
    </w:r>
    <w:proofErr w:type="spellStart"/>
    <w:r>
      <w:rPr>
        <w:b/>
        <w:sz w:val="18"/>
      </w:rPr>
      <w:t>CalSAWS</w:t>
    </w:r>
    <w:proofErr w:type="spellEnd"/>
    <w:r>
      <w:rPr>
        <w:b/>
        <w:sz w:val="18"/>
      </w:rPr>
      <w:t>)</w:t>
    </w:r>
    <w:r>
      <w:rPr>
        <w:b/>
        <w:sz w:val="18"/>
      </w:rPr>
      <w:tab/>
      <w:t>RFP#01-2025</w:t>
    </w:r>
  </w:p>
  <w:p w14:paraId="5382F8C7" w14:textId="47170EA8" w:rsidR="00CE302C" w:rsidRPr="002F103E" w:rsidRDefault="00CE302C">
    <w:pPr>
      <w:pStyle w:val="Header"/>
      <w:rPr>
        <w:sz w:val="18"/>
      </w:rPr>
    </w:pPr>
    <w:r>
      <w:rPr>
        <w:sz w:val="18"/>
      </w:rPr>
      <w:t>Quality Assurance (QA) Services</w:t>
    </w:r>
    <w:r>
      <w:rPr>
        <w:sz w:val="18"/>
      </w:rPr>
      <w:tab/>
    </w:r>
    <w:r>
      <w:rPr>
        <w:sz w:val="18"/>
      </w:rPr>
      <w:tab/>
      <w:t>October 2</w:t>
    </w:r>
    <w:r w:rsidR="001B4939">
      <w:rPr>
        <w:sz w:val="18"/>
      </w:rPr>
      <w:t>7</w:t>
    </w:r>
    <w:r>
      <w:rPr>
        <w:sz w:val="18"/>
      </w:rPr>
      <w:t>,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43914"/>
    <w:multiLevelType w:val="hybridMultilevel"/>
    <w:tmpl w:val="3112EABA"/>
    <w:lvl w:ilvl="0" w:tplc="9E2A435A">
      <w:start w:val="1"/>
      <w:numFmt w:val="bullet"/>
      <w:pStyle w:val="PTablebulletlevel2"/>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23BB05BE"/>
    <w:multiLevelType w:val="hybridMultilevel"/>
    <w:tmpl w:val="403A8022"/>
    <w:lvl w:ilvl="0" w:tplc="1E34233A">
      <w:start w:val="1"/>
      <w:numFmt w:val="bullet"/>
      <w:pStyle w:val="PBulletlevel3"/>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DC908D6"/>
    <w:multiLevelType w:val="hybridMultilevel"/>
    <w:tmpl w:val="E3E8E15C"/>
    <w:lvl w:ilvl="0" w:tplc="16366AC4">
      <w:start w:val="1"/>
      <w:numFmt w:val="lowerRoman"/>
      <w:pStyle w:val="PNumberlevel3"/>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539364DB"/>
    <w:multiLevelType w:val="multilevel"/>
    <w:tmpl w:val="F2D21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5346C6F"/>
    <w:multiLevelType w:val="hybridMultilevel"/>
    <w:tmpl w:val="F036E500"/>
    <w:lvl w:ilvl="0" w:tplc="C3E843E4">
      <w:start w:val="1"/>
      <w:numFmt w:val="lowerLetter"/>
      <w:pStyle w:val="PTablenumberlevel2"/>
      <w:lvlText w:val="%1."/>
      <w:lvlJc w:val="left"/>
      <w:pPr>
        <w:ind w:left="738" w:hanging="360"/>
      </w:p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5" w15:restartNumberingAfterBreak="0">
    <w:nsid w:val="5C464609"/>
    <w:multiLevelType w:val="multilevel"/>
    <w:tmpl w:val="A8E2899A"/>
    <w:lvl w:ilvl="0">
      <w:start w:val="1"/>
      <w:numFmt w:val="decimal"/>
      <w:lvlText w:val="%1."/>
      <w:lvlJc w:val="left"/>
      <w:pPr>
        <w:ind w:left="5580" w:hanging="360"/>
      </w:pPr>
      <w:rPr>
        <w:rFonts w:hint="default"/>
      </w:rPr>
    </w:lvl>
    <w:lvl w:ilvl="1">
      <w:start w:val="1"/>
      <w:numFmt w:val="decimal"/>
      <w:pStyle w:val="PSubheading3"/>
      <w:isLgl/>
      <w:lvlText w:val="%1.%2"/>
      <w:lvlJc w:val="left"/>
      <w:pPr>
        <w:ind w:left="720" w:hanging="360"/>
      </w:pPr>
      <w:rPr>
        <w:rFonts w:hint="default"/>
        <w:color w:val="2A4084" w:themeColor="text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3A91043"/>
    <w:multiLevelType w:val="hybridMultilevel"/>
    <w:tmpl w:val="C07853EE"/>
    <w:lvl w:ilvl="0" w:tplc="376A2680">
      <w:start w:val="1"/>
      <w:numFmt w:val="lowerLetter"/>
      <w:pStyle w:val="PNumberlevel2"/>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64C11EC4"/>
    <w:multiLevelType w:val="hybridMultilevel"/>
    <w:tmpl w:val="EEBC31F6"/>
    <w:lvl w:ilvl="0" w:tplc="34BA3F48">
      <w:start w:val="1"/>
      <w:numFmt w:val="decimal"/>
      <w:pStyle w:val="PTablenumberleve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7642D"/>
    <w:multiLevelType w:val="hybridMultilevel"/>
    <w:tmpl w:val="EB8C209C"/>
    <w:lvl w:ilvl="0" w:tplc="70E45438">
      <w:start w:val="1"/>
      <w:numFmt w:val="decimal"/>
      <w:pStyle w:val="PNumberleve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455649"/>
    <w:multiLevelType w:val="multilevel"/>
    <w:tmpl w:val="0504D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3C7937"/>
    <w:multiLevelType w:val="hybridMultilevel"/>
    <w:tmpl w:val="BD1A27BC"/>
    <w:lvl w:ilvl="0" w:tplc="AC98F030">
      <w:start w:val="1"/>
      <w:numFmt w:val="bullet"/>
      <w:pStyle w:val="PBulletlevel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504D7F"/>
    <w:multiLevelType w:val="hybridMultilevel"/>
    <w:tmpl w:val="FE6C19BA"/>
    <w:lvl w:ilvl="0" w:tplc="3C7E419C">
      <w:start w:val="1"/>
      <w:numFmt w:val="bullet"/>
      <w:pStyle w:val="PBulletlevel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985353">
    <w:abstractNumId w:val="11"/>
  </w:num>
  <w:num w:numId="2" w16cid:durableId="1168593250">
    <w:abstractNumId w:val="10"/>
  </w:num>
  <w:num w:numId="3" w16cid:durableId="1959867532">
    <w:abstractNumId w:val="1"/>
  </w:num>
  <w:num w:numId="4" w16cid:durableId="608195782">
    <w:abstractNumId w:val="8"/>
  </w:num>
  <w:num w:numId="5" w16cid:durableId="1155489954">
    <w:abstractNumId w:val="6"/>
  </w:num>
  <w:num w:numId="6" w16cid:durableId="1293438185">
    <w:abstractNumId w:val="2"/>
  </w:num>
  <w:num w:numId="7" w16cid:durableId="729381185">
    <w:abstractNumId w:val="0"/>
  </w:num>
  <w:num w:numId="8" w16cid:durableId="681665031">
    <w:abstractNumId w:val="7"/>
  </w:num>
  <w:num w:numId="9" w16cid:durableId="1611279201">
    <w:abstractNumId w:val="4"/>
  </w:num>
  <w:num w:numId="10" w16cid:durableId="1456296276">
    <w:abstractNumId w:val="9"/>
  </w:num>
  <w:num w:numId="11" w16cid:durableId="1923251062">
    <w:abstractNumId w:val="5"/>
  </w:num>
  <w:num w:numId="12" w16cid:durableId="16349733">
    <w:abstractNumId w:val="8"/>
    <w:lvlOverride w:ilvl="0">
      <w:startOverride w:val="1"/>
    </w:lvlOverride>
  </w:num>
  <w:num w:numId="13" w16cid:durableId="1684430883">
    <w:abstractNumId w:val="8"/>
    <w:lvlOverride w:ilvl="0">
      <w:startOverride w:val="1"/>
    </w:lvlOverride>
  </w:num>
  <w:num w:numId="14" w16cid:durableId="1240679448">
    <w:abstractNumId w:val="8"/>
    <w:lvlOverride w:ilvl="0">
      <w:startOverride w:val="1"/>
    </w:lvlOverride>
  </w:num>
  <w:num w:numId="15" w16cid:durableId="1989044845">
    <w:abstractNumId w:val="8"/>
    <w:lvlOverride w:ilvl="0">
      <w:startOverride w:val="1"/>
    </w:lvlOverride>
  </w:num>
  <w:num w:numId="16" w16cid:durableId="987785672">
    <w:abstractNumId w:val="8"/>
    <w:lvlOverride w:ilvl="0">
      <w:startOverride w:val="1"/>
    </w:lvlOverride>
  </w:num>
  <w:num w:numId="17" w16cid:durableId="1160778612">
    <w:abstractNumId w:val="8"/>
    <w:lvlOverride w:ilvl="0">
      <w:startOverride w:val="1"/>
    </w:lvlOverride>
  </w:num>
  <w:num w:numId="18" w16cid:durableId="619723979">
    <w:abstractNumId w:val="8"/>
    <w:lvlOverride w:ilvl="0">
      <w:startOverride w:val="1"/>
    </w:lvlOverride>
  </w:num>
  <w:num w:numId="19" w16cid:durableId="912935233">
    <w:abstractNumId w:val="8"/>
    <w:lvlOverride w:ilvl="0">
      <w:startOverride w:val="1"/>
    </w:lvlOverride>
  </w:num>
  <w:num w:numId="20" w16cid:durableId="597105402">
    <w:abstractNumId w:val="8"/>
    <w:lvlOverride w:ilvl="0">
      <w:startOverride w:val="1"/>
    </w:lvlOverride>
  </w:num>
  <w:num w:numId="21" w16cid:durableId="339888706">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3F"/>
    <w:rsid w:val="00012023"/>
    <w:rsid w:val="00014722"/>
    <w:rsid w:val="000148A3"/>
    <w:rsid w:val="00014A29"/>
    <w:rsid w:val="00016F4A"/>
    <w:rsid w:val="00017E7D"/>
    <w:rsid w:val="000202CE"/>
    <w:rsid w:val="0002193C"/>
    <w:rsid w:val="00021EF0"/>
    <w:rsid w:val="0002528F"/>
    <w:rsid w:val="00026A21"/>
    <w:rsid w:val="00031414"/>
    <w:rsid w:val="0003176B"/>
    <w:rsid w:val="00033A68"/>
    <w:rsid w:val="000351C4"/>
    <w:rsid w:val="0003756D"/>
    <w:rsid w:val="0004142E"/>
    <w:rsid w:val="000429AD"/>
    <w:rsid w:val="00042F62"/>
    <w:rsid w:val="00043745"/>
    <w:rsid w:val="00043827"/>
    <w:rsid w:val="00045827"/>
    <w:rsid w:val="00046B16"/>
    <w:rsid w:val="000515A6"/>
    <w:rsid w:val="0005458A"/>
    <w:rsid w:val="00055A03"/>
    <w:rsid w:val="00057A23"/>
    <w:rsid w:val="00057C4C"/>
    <w:rsid w:val="00061233"/>
    <w:rsid w:val="000614ED"/>
    <w:rsid w:val="00063748"/>
    <w:rsid w:val="00064132"/>
    <w:rsid w:val="00064ECF"/>
    <w:rsid w:val="00065548"/>
    <w:rsid w:val="000660F5"/>
    <w:rsid w:val="000668F9"/>
    <w:rsid w:val="00066901"/>
    <w:rsid w:val="00066F7A"/>
    <w:rsid w:val="00067072"/>
    <w:rsid w:val="0006786B"/>
    <w:rsid w:val="000760CC"/>
    <w:rsid w:val="000771E5"/>
    <w:rsid w:val="000800AD"/>
    <w:rsid w:val="000804EA"/>
    <w:rsid w:val="00080FDC"/>
    <w:rsid w:val="00083C9B"/>
    <w:rsid w:val="00084496"/>
    <w:rsid w:val="00093163"/>
    <w:rsid w:val="00095954"/>
    <w:rsid w:val="00095B06"/>
    <w:rsid w:val="00096923"/>
    <w:rsid w:val="00096F11"/>
    <w:rsid w:val="000A0819"/>
    <w:rsid w:val="000A189C"/>
    <w:rsid w:val="000A2879"/>
    <w:rsid w:val="000A3409"/>
    <w:rsid w:val="000A5FD6"/>
    <w:rsid w:val="000A779B"/>
    <w:rsid w:val="000A7DC9"/>
    <w:rsid w:val="000B0479"/>
    <w:rsid w:val="000B4785"/>
    <w:rsid w:val="000C0062"/>
    <w:rsid w:val="000C378A"/>
    <w:rsid w:val="000C76B0"/>
    <w:rsid w:val="000D319E"/>
    <w:rsid w:val="000D3DE7"/>
    <w:rsid w:val="000D626C"/>
    <w:rsid w:val="000D6A07"/>
    <w:rsid w:val="000D7072"/>
    <w:rsid w:val="000D7104"/>
    <w:rsid w:val="000E01E1"/>
    <w:rsid w:val="000E055C"/>
    <w:rsid w:val="000E5C8C"/>
    <w:rsid w:val="000E635F"/>
    <w:rsid w:val="000E64C2"/>
    <w:rsid w:val="000F0528"/>
    <w:rsid w:val="000F2BDA"/>
    <w:rsid w:val="000F422E"/>
    <w:rsid w:val="000F5641"/>
    <w:rsid w:val="000F6600"/>
    <w:rsid w:val="00103113"/>
    <w:rsid w:val="001062BC"/>
    <w:rsid w:val="001067BC"/>
    <w:rsid w:val="0010767D"/>
    <w:rsid w:val="00114A5F"/>
    <w:rsid w:val="00114EA2"/>
    <w:rsid w:val="00123CAC"/>
    <w:rsid w:val="00124863"/>
    <w:rsid w:val="001252BC"/>
    <w:rsid w:val="0012708F"/>
    <w:rsid w:val="0012751B"/>
    <w:rsid w:val="00130CA8"/>
    <w:rsid w:val="00131132"/>
    <w:rsid w:val="00132706"/>
    <w:rsid w:val="00135D44"/>
    <w:rsid w:val="00137109"/>
    <w:rsid w:val="00147802"/>
    <w:rsid w:val="00153D24"/>
    <w:rsid w:val="00155A34"/>
    <w:rsid w:val="00156D4A"/>
    <w:rsid w:val="00161881"/>
    <w:rsid w:val="001656F1"/>
    <w:rsid w:val="0017007D"/>
    <w:rsid w:val="00171FAB"/>
    <w:rsid w:val="00175B91"/>
    <w:rsid w:val="00184160"/>
    <w:rsid w:val="0018525B"/>
    <w:rsid w:val="001874AB"/>
    <w:rsid w:val="00190757"/>
    <w:rsid w:val="00193F8F"/>
    <w:rsid w:val="001A1589"/>
    <w:rsid w:val="001A64AB"/>
    <w:rsid w:val="001B15AE"/>
    <w:rsid w:val="001B1D5D"/>
    <w:rsid w:val="001B23EC"/>
    <w:rsid w:val="001B4939"/>
    <w:rsid w:val="001B79FD"/>
    <w:rsid w:val="001C2E07"/>
    <w:rsid w:val="001C5060"/>
    <w:rsid w:val="001C6AC9"/>
    <w:rsid w:val="001D0365"/>
    <w:rsid w:val="001D0D8D"/>
    <w:rsid w:val="001D14E8"/>
    <w:rsid w:val="001D2F81"/>
    <w:rsid w:val="001D3DE5"/>
    <w:rsid w:val="001D763F"/>
    <w:rsid w:val="001D7B23"/>
    <w:rsid w:val="001E0721"/>
    <w:rsid w:val="001E09DF"/>
    <w:rsid w:val="001E2C92"/>
    <w:rsid w:val="001E64A4"/>
    <w:rsid w:val="001F16EC"/>
    <w:rsid w:val="001F2C20"/>
    <w:rsid w:val="002017EB"/>
    <w:rsid w:val="002021DC"/>
    <w:rsid w:val="0020411F"/>
    <w:rsid w:val="00206102"/>
    <w:rsid w:val="002069F8"/>
    <w:rsid w:val="00210C83"/>
    <w:rsid w:val="00212E23"/>
    <w:rsid w:val="00220258"/>
    <w:rsid w:val="00221C8A"/>
    <w:rsid w:val="00222E29"/>
    <w:rsid w:val="00224D48"/>
    <w:rsid w:val="00225E8B"/>
    <w:rsid w:val="00230833"/>
    <w:rsid w:val="002409D6"/>
    <w:rsid w:val="00241165"/>
    <w:rsid w:val="00241820"/>
    <w:rsid w:val="00241DF4"/>
    <w:rsid w:val="00243CB3"/>
    <w:rsid w:val="00244637"/>
    <w:rsid w:val="0024493A"/>
    <w:rsid w:val="00246C44"/>
    <w:rsid w:val="0025195C"/>
    <w:rsid w:val="002566BA"/>
    <w:rsid w:val="002636A2"/>
    <w:rsid w:val="00264215"/>
    <w:rsid w:val="00264D78"/>
    <w:rsid w:val="002670AE"/>
    <w:rsid w:val="00267987"/>
    <w:rsid w:val="002712D8"/>
    <w:rsid w:val="00272A70"/>
    <w:rsid w:val="00274CEE"/>
    <w:rsid w:val="00275956"/>
    <w:rsid w:val="00277D1E"/>
    <w:rsid w:val="00281427"/>
    <w:rsid w:val="0028516D"/>
    <w:rsid w:val="002908B9"/>
    <w:rsid w:val="002917BF"/>
    <w:rsid w:val="0029364A"/>
    <w:rsid w:val="00293A90"/>
    <w:rsid w:val="00296279"/>
    <w:rsid w:val="002969B5"/>
    <w:rsid w:val="002A03D8"/>
    <w:rsid w:val="002A4487"/>
    <w:rsid w:val="002A78BC"/>
    <w:rsid w:val="002B0B93"/>
    <w:rsid w:val="002B10E2"/>
    <w:rsid w:val="002B36BF"/>
    <w:rsid w:val="002B4442"/>
    <w:rsid w:val="002B5504"/>
    <w:rsid w:val="002C189C"/>
    <w:rsid w:val="002C21F8"/>
    <w:rsid w:val="002C4B5E"/>
    <w:rsid w:val="002C60BB"/>
    <w:rsid w:val="002C616A"/>
    <w:rsid w:val="002C71C3"/>
    <w:rsid w:val="002D0E26"/>
    <w:rsid w:val="002D44EB"/>
    <w:rsid w:val="002D5140"/>
    <w:rsid w:val="002D60D3"/>
    <w:rsid w:val="002D6703"/>
    <w:rsid w:val="002E3D68"/>
    <w:rsid w:val="002E5637"/>
    <w:rsid w:val="002F103E"/>
    <w:rsid w:val="002F1DD0"/>
    <w:rsid w:val="002F25F1"/>
    <w:rsid w:val="002F290F"/>
    <w:rsid w:val="002F4DB7"/>
    <w:rsid w:val="002F74E5"/>
    <w:rsid w:val="002F79F7"/>
    <w:rsid w:val="002F7FBA"/>
    <w:rsid w:val="003006C3"/>
    <w:rsid w:val="00301228"/>
    <w:rsid w:val="003019E0"/>
    <w:rsid w:val="00301A29"/>
    <w:rsid w:val="003035C8"/>
    <w:rsid w:val="00303B6F"/>
    <w:rsid w:val="003065E5"/>
    <w:rsid w:val="00306AA8"/>
    <w:rsid w:val="003152CB"/>
    <w:rsid w:val="003170AE"/>
    <w:rsid w:val="003209CB"/>
    <w:rsid w:val="00324369"/>
    <w:rsid w:val="00324FAA"/>
    <w:rsid w:val="00331292"/>
    <w:rsid w:val="00331AA0"/>
    <w:rsid w:val="003335A5"/>
    <w:rsid w:val="003336F6"/>
    <w:rsid w:val="0033550A"/>
    <w:rsid w:val="00341117"/>
    <w:rsid w:val="00343D66"/>
    <w:rsid w:val="00344F14"/>
    <w:rsid w:val="00346340"/>
    <w:rsid w:val="0034736E"/>
    <w:rsid w:val="00354A2E"/>
    <w:rsid w:val="00360165"/>
    <w:rsid w:val="003617DE"/>
    <w:rsid w:val="00362F88"/>
    <w:rsid w:val="00364AC9"/>
    <w:rsid w:val="003723F3"/>
    <w:rsid w:val="00373E5A"/>
    <w:rsid w:val="00374D83"/>
    <w:rsid w:val="00376C96"/>
    <w:rsid w:val="00377B19"/>
    <w:rsid w:val="00381B68"/>
    <w:rsid w:val="00382543"/>
    <w:rsid w:val="00383437"/>
    <w:rsid w:val="003849A0"/>
    <w:rsid w:val="00390877"/>
    <w:rsid w:val="00394C81"/>
    <w:rsid w:val="00395556"/>
    <w:rsid w:val="00397A7E"/>
    <w:rsid w:val="003A3620"/>
    <w:rsid w:val="003A4615"/>
    <w:rsid w:val="003A4C69"/>
    <w:rsid w:val="003B1117"/>
    <w:rsid w:val="003B1219"/>
    <w:rsid w:val="003B20D7"/>
    <w:rsid w:val="003B44CA"/>
    <w:rsid w:val="003B4E08"/>
    <w:rsid w:val="003B7E8B"/>
    <w:rsid w:val="003C1229"/>
    <w:rsid w:val="003C702C"/>
    <w:rsid w:val="003C7C08"/>
    <w:rsid w:val="003D18E8"/>
    <w:rsid w:val="003D2383"/>
    <w:rsid w:val="003D3DB2"/>
    <w:rsid w:val="003D5608"/>
    <w:rsid w:val="003D708B"/>
    <w:rsid w:val="003E002A"/>
    <w:rsid w:val="003E069E"/>
    <w:rsid w:val="003E24FA"/>
    <w:rsid w:val="003E3CDC"/>
    <w:rsid w:val="003E43F4"/>
    <w:rsid w:val="003E534F"/>
    <w:rsid w:val="003E549D"/>
    <w:rsid w:val="003E5B91"/>
    <w:rsid w:val="003E7B3D"/>
    <w:rsid w:val="003F14E8"/>
    <w:rsid w:val="003F6282"/>
    <w:rsid w:val="003F7153"/>
    <w:rsid w:val="003F7E8E"/>
    <w:rsid w:val="00403017"/>
    <w:rsid w:val="00403541"/>
    <w:rsid w:val="00404D9F"/>
    <w:rsid w:val="00407DCC"/>
    <w:rsid w:val="00411C94"/>
    <w:rsid w:val="004146A6"/>
    <w:rsid w:val="004149F5"/>
    <w:rsid w:val="004159A4"/>
    <w:rsid w:val="00420150"/>
    <w:rsid w:val="0042393B"/>
    <w:rsid w:val="00424AFE"/>
    <w:rsid w:val="004259E6"/>
    <w:rsid w:val="00434A25"/>
    <w:rsid w:val="004432C6"/>
    <w:rsid w:val="00450D92"/>
    <w:rsid w:val="00450F9F"/>
    <w:rsid w:val="00452CE6"/>
    <w:rsid w:val="0045367F"/>
    <w:rsid w:val="00456ED8"/>
    <w:rsid w:val="004571DD"/>
    <w:rsid w:val="00467CA8"/>
    <w:rsid w:val="00467D61"/>
    <w:rsid w:val="00471470"/>
    <w:rsid w:val="00471C95"/>
    <w:rsid w:val="00475B2B"/>
    <w:rsid w:val="004764D9"/>
    <w:rsid w:val="004811A2"/>
    <w:rsid w:val="00483940"/>
    <w:rsid w:val="00483F70"/>
    <w:rsid w:val="00486893"/>
    <w:rsid w:val="00487AEE"/>
    <w:rsid w:val="00490F0A"/>
    <w:rsid w:val="00495442"/>
    <w:rsid w:val="004A1D1E"/>
    <w:rsid w:val="004A5651"/>
    <w:rsid w:val="004A6A41"/>
    <w:rsid w:val="004A73E4"/>
    <w:rsid w:val="004B1454"/>
    <w:rsid w:val="004B463F"/>
    <w:rsid w:val="004B55B4"/>
    <w:rsid w:val="004B577A"/>
    <w:rsid w:val="004B59E1"/>
    <w:rsid w:val="004B5CF5"/>
    <w:rsid w:val="004B6755"/>
    <w:rsid w:val="004C150C"/>
    <w:rsid w:val="004C4718"/>
    <w:rsid w:val="004C488D"/>
    <w:rsid w:val="004C49D0"/>
    <w:rsid w:val="004C5167"/>
    <w:rsid w:val="004C651A"/>
    <w:rsid w:val="004C75A7"/>
    <w:rsid w:val="004D0606"/>
    <w:rsid w:val="004D0820"/>
    <w:rsid w:val="004D131D"/>
    <w:rsid w:val="004D3EC7"/>
    <w:rsid w:val="004D4247"/>
    <w:rsid w:val="004D5674"/>
    <w:rsid w:val="004E22E5"/>
    <w:rsid w:val="004E5FE0"/>
    <w:rsid w:val="004F03BC"/>
    <w:rsid w:val="004F0DDB"/>
    <w:rsid w:val="004F1365"/>
    <w:rsid w:val="004F2883"/>
    <w:rsid w:val="004F3E1B"/>
    <w:rsid w:val="004F459A"/>
    <w:rsid w:val="004F4984"/>
    <w:rsid w:val="004F52FD"/>
    <w:rsid w:val="00502EA1"/>
    <w:rsid w:val="005062FE"/>
    <w:rsid w:val="00506797"/>
    <w:rsid w:val="005075D2"/>
    <w:rsid w:val="00510127"/>
    <w:rsid w:val="00510B68"/>
    <w:rsid w:val="00512405"/>
    <w:rsid w:val="00512814"/>
    <w:rsid w:val="0051433B"/>
    <w:rsid w:val="0051687B"/>
    <w:rsid w:val="0052081F"/>
    <w:rsid w:val="00523A83"/>
    <w:rsid w:val="0052414C"/>
    <w:rsid w:val="0052565A"/>
    <w:rsid w:val="0052740C"/>
    <w:rsid w:val="005279D7"/>
    <w:rsid w:val="00530538"/>
    <w:rsid w:val="005344AD"/>
    <w:rsid w:val="0053593A"/>
    <w:rsid w:val="00540B20"/>
    <w:rsid w:val="00542283"/>
    <w:rsid w:val="00545971"/>
    <w:rsid w:val="00546309"/>
    <w:rsid w:val="00551893"/>
    <w:rsid w:val="0055214F"/>
    <w:rsid w:val="00557B63"/>
    <w:rsid w:val="00562917"/>
    <w:rsid w:val="00562CFC"/>
    <w:rsid w:val="00565127"/>
    <w:rsid w:val="00565A9A"/>
    <w:rsid w:val="005669F4"/>
    <w:rsid w:val="00567C64"/>
    <w:rsid w:val="005710A0"/>
    <w:rsid w:val="0057556D"/>
    <w:rsid w:val="005762BF"/>
    <w:rsid w:val="00580939"/>
    <w:rsid w:val="00582A60"/>
    <w:rsid w:val="005845A0"/>
    <w:rsid w:val="00585D16"/>
    <w:rsid w:val="00585FE0"/>
    <w:rsid w:val="00591CBB"/>
    <w:rsid w:val="005922E4"/>
    <w:rsid w:val="005939B4"/>
    <w:rsid w:val="00594201"/>
    <w:rsid w:val="0059515A"/>
    <w:rsid w:val="005955F6"/>
    <w:rsid w:val="005962C8"/>
    <w:rsid w:val="005974DB"/>
    <w:rsid w:val="00597B33"/>
    <w:rsid w:val="005A20C9"/>
    <w:rsid w:val="005A245C"/>
    <w:rsid w:val="005A2D0E"/>
    <w:rsid w:val="005A3CE4"/>
    <w:rsid w:val="005A4154"/>
    <w:rsid w:val="005A4B18"/>
    <w:rsid w:val="005A5199"/>
    <w:rsid w:val="005A5D21"/>
    <w:rsid w:val="005A6EAF"/>
    <w:rsid w:val="005A7FDE"/>
    <w:rsid w:val="005B00AA"/>
    <w:rsid w:val="005B079F"/>
    <w:rsid w:val="005B15BC"/>
    <w:rsid w:val="005B2B54"/>
    <w:rsid w:val="005B363B"/>
    <w:rsid w:val="005B75B9"/>
    <w:rsid w:val="005C2559"/>
    <w:rsid w:val="005C4111"/>
    <w:rsid w:val="005C502D"/>
    <w:rsid w:val="005C68A0"/>
    <w:rsid w:val="005D038A"/>
    <w:rsid w:val="005D2AAA"/>
    <w:rsid w:val="005E0E32"/>
    <w:rsid w:val="005E4316"/>
    <w:rsid w:val="005E47A3"/>
    <w:rsid w:val="005F4869"/>
    <w:rsid w:val="005F48E0"/>
    <w:rsid w:val="005F7130"/>
    <w:rsid w:val="005F7259"/>
    <w:rsid w:val="005F7AE5"/>
    <w:rsid w:val="00601A9A"/>
    <w:rsid w:val="006032AE"/>
    <w:rsid w:val="00607B99"/>
    <w:rsid w:val="00611531"/>
    <w:rsid w:val="00611627"/>
    <w:rsid w:val="006140B3"/>
    <w:rsid w:val="00616B4E"/>
    <w:rsid w:val="00620150"/>
    <w:rsid w:val="00622065"/>
    <w:rsid w:val="00623179"/>
    <w:rsid w:val="00627C5D"/>
    <w:rsid w:val="00632471"/>
    <w:rsid w:val="0063496B"/>
    <w:rsid w:val="00644C8E"/>
    <w:rsid w:val="006468D6"/>
    <w:rsid w:val="00651588"/>
    <w:rsid w:val="0065280D"/>
    <w:rsid w:val="00654852"/>
    <w:rsid w:val="006566E2"/>
    <w:rsid w:val="00660381"/>
    <w:rsid w:val="00666CCF"/>
    <w:rsid w:val="006675E7"/>
    <w:rsid w:val="00667836"/>
    <w:rsid w:val="006706F7"/>
    <w:rsid w:val="00671CF0"/>
    <w:rsid w:val="006802CE"/>
    <w:rsid w:val="00680373"/>
    <w:rsid w:val="00681E45"/>
    <w:rsid w:val="00681E5B"/>
    <w:rsid w:val="006847F2"/>
    <w:rsid w:val="006866DA"/>
    <w:rsid w:val="00690D4E"/>
    <w:rsid w:val="00691BF0"/>
    <w:rsid w:val="00692F92"/>
    <w:rsid w:val="006A0574"/>
    <w:rsid w:val="006A694C"/>
    <w:rsid w:val="006B0771"/>
    <w:rsid w:val="006B18EC"/>
    <w:rsid w:val="006B5397"/>
    <w:rsid w:val="006B669B"/>
    <w:rsid w:val="006C16DA"/>
    <w:rsid w:val="006C3378"/>
    <w:rsid w:val="006C3AB9"/>
    <w:rsid w:val="006D283E"/>
    <w:rsid w:val="006D2907"/>
    <w:rsid w:val="006D2E84"/>
    <w:rsid w:val="006D335D"/>
    <w:rsid w:val="006D365C"/>
    <w:rsid w:val="006D5FC2"/>
    <w:rsid w:val="006E550C"/>
    <w:rsid w:val="006E68B4"/>
    <w:rsid w:val="006E7AB9"/>
    <w:rsid w:val="006F4299"/>
    <w:rsid w:val="006F56DD"/>
    <w:rsid w:val="006F5D33"/>
    <w:rsid w:val="006F6304"/>
    <w:rsid w:val="006F7010"/>
    <w:rsid w:val="007035A0"/>
    <w:rsid w:val="00704BA8"/>
    <w:rsid w:val="00706B60"/>
    <w:rsid w:val="00711816"/>
    <w:rsid w:val="007122CF"/>
    <w:rsid w:val="0071262E"/>
    <w:rsid w:val="00715395"/>
    <w:rsid w:val="007166AB"/>
    <w:rsid w:val="00716ABF"/>
    <w:rsid w:val="0073011C"/>
    <w:rsid w:val="00732B9A"/>
    <w:rsid w:val="00736D6C"/>
    <w:rsid w:val="0073715E"/>
    <w:rsid w:val="0073750D"/>
    <w:rsid w:val="00737EDF"/>
    <w:rsid w:val="00752791"/>
    <w:rsid w:val="0075353E"/>
    <w:rsid w:val="00762044"/>
    <w:rsid w:val="00762F92"/>
    <w:rsid w:val="007631D2"/>
    <w:rsid w:val="007642C1"/>
    <w:rsid w:val="00764A24"/>
    <w:rsid w:val="00764A9C"/>
    <w:rsid w:val="0076578A"/>
    <w:rsid w:val="007666FC"/>
    <w:rsid w:val="007677B6"/>
    <w:rsid w:val="00767A7E"/>
    <w:rsid w:val="0077546B"/>
    <w:rsid w:val="00775B11"/>
    <w:rsid w:val="00780B33"/>
    <w:rsid w:val="007814C4"/>
    <w:rsid w:val="00781B2E"/>
    <w:rsid w:val="0078343D"/>
    <w:rsid w:val="00785636"/>
    <w:rsid w:val="0078691F"/>
    <w:rsid w:val="00787A6C"/>
    <w:rsid w:val="00791139"/>
    <w:rsid w:val="00791AC4"/>
    <w:rsid w:val="00794B57"/>
    <w:rsid w:val="007954EE"/>
    <w:rsid w:val="007967E1"/>
    <w:rsid w:val="007A035A"/>
    <w:rsid w:val="007A12C7"/>
    <w:rsid w:val="007A1B24"/>
    <w:rsid w:val="007A33D1"/>
    <w:rsid w:val="007A4061"/>
    <w:rsid w:val="007A43DF"/>
    <w:rsid w:val="007A7805"/>
    <w:rsid w:val="007B0C7E"/>
    <w:rsid w:val="007B2ECF"/>
    <w:rsid w:val="007B6018"/>
    <w:rsid w:val="007C223B"/>
    <w:rsid w:val="007C24E8"/>
    <w:rsid w:val="007C26A4"/>
    <w:rsid w:val="007C2C3E"/>
    <w:rsid w:val="007C37E5"/>
    <w:rsid w:val="007C4B43"/>
    <w:rsid w:val="007C4B8D"/>
    <w:rsid w:val="007C4F33"/>
    <w:rsid w:val="007C7637"/>
    <w:rsid w:val="007D127E"/>
    <w:rsid w:val="007D196B"/>
    <w:rsid w:val="007D26AA"/>
    <w:rsid w:val="007D47C9"/>
    <w:rsid w:val="007D4AC5"/>
    <w:rsid w:val="007D4F74"/>
    <w:rsid w:val="007D709C"/>
    <w:rsid w:val="007E17A1"/>
    <w:rsid w:val="007E1D97"/>
    <w:rsid w:val="007E6A85"/>
    <w:rsid w:val="007E7634"/>
    <w:rsid w:val="007F4F48"/>
    <w:rsid w:val="007F6888"/>
    <w:rsid w:val="007F74E8"/>
    <w:rsid w:val="0080037B"/>
    <w:rsid w:val="008014E8"/>
    <w:rsid w:val="0080473F"/>
    <w:rsid w:val="00807577"/>
    <w:rsid w:val="0080796E"/>
    <w:rsid w:val="00807B12"/>
    <w:rsid w:val="00810719"/>
    <w:rsid w:val="008111DC"/>
    <w:rsid w:val="00812378"/>
    <w:rsid w:val="00814324"/>
    <w:rsid w:val="0081461D"/>
    <w:rsid w:val="00814BDE"/>
    <w:rsid w:val="008247F3"/>
    <w:rsid w:val="008269DD"/>
    <w:rsid w:val="00830ACC"/>
    <w:rsid w:val="0083224B"/>
    <w:rsid w:val="00832365"/>
    <w:rsid w:val="00832991"/>
    <w:rsid w:val="00833504"/>
    <w:rsid w:val="00833C27"/>
    <w:rsid w:val="008352D9"/>
    <w:rsid w:val="00835376"/>
    <w:rsid w:val="0083736A"/>
    <w:rsid w:val="00840335"/>
    <w:rsid w:val="00841068"/>
    <w:rsid w:val="008464AE"/>
    <w:rsid w:val="00846E09"/>
    <w:rsid w:val="00847B52"/>
    <w:rsid w:val="00850DB1"/>
    <w:rsid w:val="00853908"/>
    <w:rsid w:val="008544ED"/>
    <w:rsid w:val="00860A07"/>
    <w:rsid w:val="00863B0D"/>
    <w:rsid w:val="00863B41"/>
    <w:rsid w:val="00865E66"/>
    <w:rsid w:val="00871DC6"/>
    <w:rsid w:val="00871FC7"/>
    <w:rsid w:val="008726FE"/>
    <w:rsid w:val="0087418B"/>
    <w:rsid w:val="00876AD0"/>
    <w:rsid w:val="00880003"/>
    <w:rsid w:val="00880503"/>
    <w:rsid w:val="00880B55"/>
    <w:rsid w:val="00887B31"/>
    <w:rsid w:val="00892953"/>
    <w:rsid w:val="0089352C"/>
    <w:rsid w:val="00896D31"/>
    <w:rsid w:val="00897D16"/>
    <w:rsid w:val="008A090E"/>
    <w:rsid w:val="008A139D"/>
    <w:rsid w:val="008A3AD0"/>
    <w:rsid w:val="008A423E"/>
    <w:rsid w:val="008A5040"/>
    <w:rsid w:val="008A64E8"/>
    <w:rsid w:val="008A69E6"/>
    <w:rsid w:val="008A73D7"/>
    <w:rsid w:val="008A7CC3"/>
    <w:rsid w:val="008B01A5"/>
    <w:rsid w:val="008B1513"/>
    <w:rsid w:val="008B2473"/>
    <w:rsid w:val="008B47EA"/>
    <w:rsid w:val="008B6585"/>
    <w:rsid w:val="008C0694"/>
    <w:rsid w:val="008D18FD"/>
    <w:rsid w:val="008E2E6A"/>
    <w:rsid w:val="008E4B1D"/>
    <w:rsid w:val="008F0EC8"/>
    <w:rsid w:val="008F1C33"/>
    <w:rsid w:val="008F2F97"/>
    <w:rsid w:val="008F368D"/>
    <w:rsid w:val="008F4E80"/>
    <w:rsid w:val="008F727C"/>
    <w:rsid w:val="00900915"/>
    <w:rsid w:val="00900D3D"/>
    <w:rsid w:val="00907CD4"/>
    <w:rsid w:val="00907D5C"/>
    <w:rsid w:val="00910101"/>
    <w:rsid w:val="009108FD"/>
    <w:rsid w:val="00911073"/>
    <w:rsid w:val="00912544"/>
    <w:rsid w:val="00914DCB"/>
    <w:rsid w:val="00916E90"/>
    <w:rsid w:val="0092099D"/>
    <w:rsid w:val="00922E76"/>
    <w:rsid w:val="00924130"/>
    <w:rsid w:val="009255BB"/>
    <w:rsid w:val="009373FC"/>
    <w:rsid w:val="00937CA1"/>
    <w:rsid w:val="00942233"/>
    <w:rsid w:val="00942600"/>
    <w:rsid w:val="00943825"/>
    <w:rsid w:val="00944009"/>
    <w:rsid w:val="00950F7B"/>
    <w:rsid w:val="00953ECC"/>
    <w:rsid w:val="0095442D"/>
    <w:rsid w:val="009555A1"/>
    <w:rsid w:val="00961C7F"/>
    <w:rsid w:val="00963ED7"/>
    <w:rsid w:val="00970140"/>
    <w:rsid w:val="00970659"/>
    <w:rsid w:val="00975193"/>
    <w:rsid w:val="0097561E"/>
    <w:rsid w:val="00980340"/>
    <w:rsid w:val="009809B6"/>
    <w:rsid w:val="009957AC"/>
    <w:rsid w:val="009978F2"/>
    <w:rsid w:val="009A4C7D"/>
    <w:rsid w:val="009B62BB"/>
    <w:rsid w:val="009B764D"/>
    <w:rsid w:val="009C3A95"/>
    <w:rsid w:val="009C4708"/>
    <w:rsid w:val="009C6085"/>
    <w:rsid w:val="009C6B29"/>
    <w:rsid w:val="009D1C3C"/>
    <w:rsid w:val="009D7402"/>
    <w:rsid w:val="009E02FC"/>
    <w:rsid w:val="009E0CB3"/>
    <w:rsid w:val="009E2C4C"/>
    <w:rsid w:val="009E2F94"/>
    <w:rsid w:val="009E32FF"/>
    <w:rsid w:val="009E3716"/>
    <w:rsid w:val="009E3E25"/>
    <w:rsid w:val="009E5AAC"/>
    <w:rsid w:val="009E6270"/>
    <w:rsid w:val="009F239D"/>
    <w:rsid w:val="009F4CA0"/>
    <w:rsid w:val="009F6074"/>
    <w:rsid w:val="009F7B0B"/>
    <w:rsid w:val="00A00093"/>
    <w:rsid w:val="00A01607"/>
    <w:rsid w:val="00A01C3C"/>
    <w:rsid w:val="00A04B27"/>
    <w:rsid w:val="00A04F5C"/>
    <w:rsid w:val="00A11638"/>
    <w:rsid w:val="00A1286F"/>
    <w:rsid w:val="00A158B3"/>
    <w:rsid w:val="00A17036"/>
    <w:rsid w:val="00A17EB2"/>
    <w:rsid w:val="00A22D60"/>
    <w:rsid w:val="00A25369"/>
    <w:rsid w:val="00A2681D"/>
    <w:rsid w:val="00A3294D"/>
    <w:rsid w:val="00A35E71"/>
    <w:rsid w:val="00A37CAE"/>
    <w:rsid w:val="00A41E1D"/>
    <w:rsid w:val="00A422FA"/>
    <w:rsid w:val="00A42DFA"/>
    <w:rsid w:val="00A42F5D"/>
    <w:rsid w:val="00A47758"/>
    <w:rsid w:val="00A54206"/>
    <w:rsid w:val="00A6001D"/>
    <w:rsid w:val="00A62EB2"/>
    <w:rsid w:val="00A63AA5"/>
    <w:rsid w:val="00A63AF1"/>
    <w:rsid w:val="00A64436"/>
    <w:rsid w:val="00A64463"/>
    <w:rsid w:val="00A66ECE"/>
    <w:rsid w:val="00A715CD"/>
    <w:rsid w:val="00A7375B"/>
    <w:rsid w:val="00A73822"/>
    <w:rsid w:val="00A74DFC"/>
    <w:rsid w:val="00A81B04"/>
    <w:rsid w:val="00A821E9"/>
    <w:rsid w:val="00A849B0"/>
    <w:rsid w:val="00A91DD1"/>
    <w:rsid w:val="00A9225A"/>
    <w:rsid w:val="00A96513"/>
    <w:rsid w:val="00A973B8"/>
    <w:rsid w:val="00A9792C"/>
    <w:rsid w:val="00AA1815"/>
    <w:rsid w:val="00AA2FC4"/>
    <w:rsid w:val="00AA3074"/>
    <w:rsid w:val="00AA4BD2"/>
    <w:rsid w:val="00AA5B9A"/>
    <w:rsid w:val="00AA5D2E"/>
    <w:rsid w:val="00AA7829"/>
    <w:rsid w:val="00AA7910"/>
    <w:rsid w:val="00AB1F7D"/>
    <w:rsid w:val="00AB3C9A"/>
    <w:rsid w:val="00AB4C8F"/>
    <w:rsid w:val="00AB588B"/>
    <w:rsid w:val="00AB5D26"/>
    <w:rsid w:val="00AC2C49"/>
    <w:rsid w:val="00AC2CA7"/>
    <w:rsid w:val="00AC75B2"/>
    <w:rsid w:val="00AD1A4D"/>
    <w:rsid w:val="00AD59BA"/>
    <w:rsid w:val="00AD5DB7"/>
    <w:rsid w:val="00AD670D"/>
    <w:rsid w:val="00AD7354"/>
    <w:rsid w:val="00AE0F1E"/>
    <w:rsid w:val="00AE1AC5"/>
    <w:rsid w:val="00AE26DF"/>
    <w:rsid w:val="00AE2A0B"/>
    <w:rsid w:val="00AE5A88"/>
    <w:rsid w:val="00AF03B5"/>
    <w:rsid w:val="00AF05D4"/>
    <w:rsid w:val="00AF3698"/>
    <w:rsid w:val="00AF370A"/>
    <w:rsid w:val="00AF463E"/>
    <w:rsid w:val="00AF5139"/>
    <w:rsid w:val="00AF6AB0"/>
    <w:rsid w:val="00B00081"/>
    <w:rsid w:val="00B01DD9"/>
    <w:rsid w:val="00B0207F"/>
    <w:rsid w:val="00B0371D"/>
    <w:rsid w:val="00B04193"/>
    <w:rsid w:val="00B10DE0"/>
    <w:rsid w:val="00B11AF2"/>
    <w:rsid w:val="00B12D08"/>
    <w:rsid w:val="00B142BA"/>
    <w:rsid w:val="00B14883"/>
    <w:rsid w:val="00B15254"/>
    <w:rsid w:val="00B166EE"/>
    <w:rsid w:val="00B200A1"/>
    <w:rsid w:val="00B20884"/>
    <w:rsid w:val="00B2356D"/>
    <w:rsid w:val="00B2614F"/>
    <w:rsid w:val="00B26606"/>
    <w:rsid w:val="00B31BF5"/>
    <w:rsid w:val="00B33525"/>
    <w:rsid w:val="00B35046"/>
    <w:rsid w:val="00B3736D"/>
    <w:rsid w:val="00B41ABF"/>
    <w:rsid w:val="00B4210D"/>
    <w:rsid w:val="00B43DC3"/>
    <w:rsid w:val="00B44A5C"/>
    <w:rsid w:val="00B46C47"/>
    <w:rsid w:val="00B46C7B"/>
    <w:rsid w:val="00B46D50"/>
    <w:rsid w:val="00B4764D"/>
    <w:rsid w:val="00B50B9C"/>
    <w:rsid w:val="00B54365"/>
    <w:rsid w:val="00B54943"/>
    <w:rsid w:val="00B54BEB"/>
    <w:rsid w:val="00B5567B"/>
    <w:rsid w:val="00B60107"/>
    <w:rsid w:val="00B603FA"/>
    <w:rsid w:val="00B614ED"/>
    <w:rsid w:val="00B638A9"/>
    <w:rsid w:val="00B70058"/>
    <w:rsid w:val="00B73E4B"/>
    <w:rsid w:val="00B740E6"/>
    <w:rsid w:val="00B77FE6"/>
    <w:rsid w:val="00B85FA2"/>
    <w:rsid w:val="00B87035"/>
    <w:rsid w:val="00B8730B"/>
    <w:rsid w:val="00B87958"/>
    <w:rsid w:val="00B914E5"/>
    <w:rsid w:val="00B9299E"/>
    <w:rsid w:val="00B94589"/>
    <w:rsid w:val="00B9697B"/>
    <w:rsid w:val="00BA0829"/>
    <w:rsid w:val="00BA0C77"/>
    <w:rsid w:val="00BA113C"/>
    <w:rsid w:val="00BA1697"/>
    <w:rsid w:val="00BA2B7D"/>
    <w:rsid w:val="00BA3F96"/>
    <w:rsid w:val="00BA5579"/>
    <w:rsid w:val="00BA77E5"/>
    <w:rsid w:val="00BB0697"/>
    <w:rsid w:val="00BB263D"/>
    <w:rsid w:val="00BB2DAE"/>
    <w:rsid w:val="00BC2A4A"/>
    <w:rsid w:val="00BC6853"/>
    <w:rsid w:val="00BC7D2E"/>
    <w:rsid w:val="00BD11DA"/>
    <w:rsid w:val="00BD464C"/>
    <w:rsid w:val="00BD5EE0"/>
    <w:rsid w:val="00BD7055"/>
    <w:rsid w:val="00BD74EA"/>
    <w:rsid w:val="00BE162F"/>
    <w:rsid w:val="00BE431F"/>
    <w:rsid w:val="00BE6BDC"/>
    <w:rsid w:val="00BE6CC4"/>
    <w:rsid w:val="00BF080F"/>
    <w:rsid w:val="00BF5E63"/>
    <w:rsid w:val="00BF6ABF"/>
    <w:rsid w:val="00BF730B"/>
    <w:rsid w:val="00C007A4"/>
    <w:rsid w:val="00C02D67"/>
    <w:rsid w:val="00C03662"/>
    <w:rsid w:val="00C0611D"/>
    <w:rsid w:val="00C0649D"/>
    <w:rsid w:val="00C07C14"/>
    <w:rsid w:val="00C07F61"/>
    <w:rsid w:val="00C1170B"/>
    <w:rsid w:val="00C12111"/>
    <w:rsid w:val="00C126F9"/>
    <w:rsid w:val="00C1368E"/>
    <w:rsid w:val="00C14A44"/>
    <w:rsid w:val="00C21019"/>
    <w:rsid w:val="00C219EB"/>
    <w:rsid w:val="00C22E1D"/>
    <w:rsid w:val="00C22EE1"/>
    <w:rsid w:val="00C249A0"/>
    <w:rsid w:val="00C24CA9"/>
    <w:rsid w:val="00C2515D"/>
    <w:rsid w:val="00C25DCA"/>
    <w:rsid w:val="00C342FD"/>
    <w:rsid w:val="00C346F8"/>
    <w:rsid w:val="00C37C3E"/>
    <w:rsid w:val="00C404CF"/>
    <w:rsid w:val="00C4111B"/>
    <w:rsid w:val="00C444ED"/>
    <w:rsid w:val="00C505AB"/>
    <w:rsid w:val="00C522EA"/>
    <w:rsid w:val="00C529B6"/>
    <w:rsid w:val="00C52CF0"/>
    <w:rsid w:val="00C5306D"/>
    <w:rsid w:val="00C5373A"/>
    <w:rsid w:val="00C62892"/>
    <w:rsid w:val="00C67748"/>
    <w:rsid w:val="00C70DD6"/>
    <w:rsid w:val="00C740EF"/>
    <w:rsid w:val="00C75831"/>
    <w:rsid w:val="00C76B1E"/>
    <w:rsid w:val="00C77C78"/>
    <w:rsid w:val="00C82149"/>
    <w:rsid w:val="00C85148"/>
    <w:rsid w:val="00C87B67"/>
    <w:rsid w:val="00C90493"/>
    <w:rsid w:val="00C90840"/>
    <w:rsid w:val="00C91014"/>
    <w:rsid w:val="00C955AB"/>
    <w:rsid w:val="00C95C3A"/>
    <w:rsid w:val="00CA17E3"/>
    <w:rsid w:val="00CA49E7"/>
    <w:rsid w:val="00CA4BDC"/>
    <w:rsid w:val="00CA5F6F"/>
    <w:rsid w:val="00CA5FB6"/>
    <w:rsid w:val="00CB0BAC"/>
    <w:rsid w:val="00CB10D8"/>
    <w:rsid w:val="00CB453B"/>
    <w:rsid w:val="00CB5088"/>
    <w:rsid w:val="00CB555B"/>
    <w:rsid w:val="00CB584D"/>
    <w:rsid w:val="00CB73BA"/>
    <w:rsid w:val="00CB7402"/>
    <w:rsid w:val="00CC1E8F"/>
    <w:rsid w:val="00CC1E9A"/>
    <w:rsid w:val="00CC21B3"/>
    <w:rsid w:val="00CC3B15"/>
    <w:rsid w:val="00CC4C28"/>
    <w:rsid w:val="00CC59E5"/>
    <w:rsid w:val="00CC6561"/>
    <w:rsid w:val="00CC6FEF"/>
    <w:rsid w:val="00CD0AF2"/>
    <w:rsid w:val="00CD0FB3"/>
    <w:rsid w:val="00CD69BD"/>
    <w:rsid w:val="00CE2E15"/>
    <w:rsid w:val="00CE302C"/>
    <w:rsid w:val="00CE600B"/>
    <w:rsid w:val="00CE7EEA"/>
    <w:rsid w:val="00CF17C7"/>
    <w:rsid w:val="00CF20AA"/>
    <w:rsid w:val="00CF4C08"/>
    <w:rsid w:val="00CF5A41"/>
    <w:rsid w:val="00D002DF"/>
    <w:rsid w:val="00D0222E"/>
    <w:rsid w:val="00D049EC"/>
    <w:rsid w:val="00D054BE"/>
    <w:rsid w:val="00D1020C"/>
    <w:rsid w:val="00D10970"/>
    <w:rsid w:val="00D10B34"/>
    <w:rsid w:val="00D12618"/>
    <w:rsid w:val="00D160EF"/>
    <w:rsid w:val="00D2057B"/>
    <w:rsid w:val="00D20634"/>
    <w:rsid w:val="00D24475"/>
    <w:rsid w:val="00D2497C"/>
    <w:rsid w:val="00D24A23"/>
    <w:rsid w:val="00D26CEC"/>
    <w:rsid w:val="00D31FD9"/>
    <w:rsid w:val="00D34EA1"/>
    <w:rsid w:val="00D374ED"/>
    <w:rsid w:val="00D37D09"/>
    <w:rsid w:val="00D47088"/>
    <w:rsid w:val="00D474E7"/>
    <w:rsid w:val="00D5046C"/>
    <w:rsid w:val="00D5254C"/>
    <w:rsid w:val="00D53979"/>
    <w:rsid w:val="00D54577"/>
    <w:rsid w:val="00D5498D"/>
    <w:rsid w:val="00D569FA"/>
    <w:rsid w:val="00D5755A"/>
    <w:rsid w:val="00D57DFF"/>
    <w:rsid w:val="00D609AC"/>
    <w:rsid w:val="00D62C6C"/>
    <w:rsid w:val="00D63A3B"/>
    <w:rsid w:val="00D64A72"/>
    <w:rsid w:val="00D67255"/>
    <w:rsid w:val="00D67B75"/>
    <w:rsid w:val="00D7145D"/>
    <w:rsid w:val="00D716CE"/>
    <w:rsid w:val="00D7354E"/>
    <w:rsid w:val="00D73FF3"/>
    <w:rsid w:val="00D74C35"/>
    <w:rsid w:val="00D762B8"/>
    <w:rsid w:val="00D77A5F"/>
    <w:rsid w:val="00D818F9"/>
    <w:rsid w:val="00D81E75"/>
    <w:rsid w:val="00D85351"/>
    <w:rsid w:val="00D85CCC"/>
    <w:rsid w:val="00D977B3"/>
    <w:rsid w:val="00DA1C17"/>
    <w:rsid w:val="00DA4B26"/>
    <w:rsid w:val="00DA6DF9"/>
    <w:rsid w:val="00DB14E7"/>
    <w:rsid w:val="00DB157F"/>
    <w:rsid w:val="00DB16D8"/>
    <w:rsid w:val="00DB7563"/>
    <w:rsid w:val="00DB78FB"/>
    <w:rsid w:val="00DC2887"/>
    <w:rsid w:val="00DC403C"/>
    <w:rsid w:val="00DD12CC"/>
    <w:rsid w:val="00DD3154"/>
    <w:rsid w:val="00DD3B2C"/>
    <w:rsid w:val="00DD7772"/>
    <w:rsid w:val="00DE31DB"/>
    <w:rsid w:val="00DE38AE"/>
    <w:rsid w:val="00DE5E50"/>
    <w:rsid w:val="00DE713F"/>
    <w:rsid w:val="00DF1276"/>
    <w:rsid w:val="00DF3373"/>
    <w:rsid w:val="00DF4FA1"/>
    <w:rsid w:val="00E00EA9"/>
    <w:rsid w:val="00E01C7C"/>
    <w:rsid w:val="00E030E8"/>
    <w:rsid w:val="00E04A25"/>
    <w:rsid w:val="00E11E0F"/>
    <w:rsid w:val="00E12242"/>
    <w:rsid w:val="00E13F7A"/>
    <w:rsid w:val="00E15647"/>
    <w:rsid w:val="00E254AF"/>
    <w:rsid w:val="00E26123"/>
    <w:rsid w:val="00E26F80"/>
    <w:rsid w:val="00E30300"/>
    <w:rsid w:val="00E32981"/>
    <w:rsid w:val="00E32FCA"/>
    <w:rsid w:val="00E3322E"/>
    <w:rsid w:val="00E3411D"/>
    <w:rsid w:val="00E352B3"/>
    <w:rsid w:val="00E36313"/>
    <w:rsid w:val="00E375B3"/>
    <w:rsid w:val="00E419B3"/>
    <w:rsid w:val="00E431B7"/>
    <w:rsid w:val="00E43D71"/>
    <w:rsid w:val="00E4535A"/>
    <w:rsid w:val="00E45A1C"/>
    <w:rsid w:val="00E46226"/>
    <w:rsid w:val="00E525EE"/>
    <w:rsid w:val="00E54D85"/>
    <w:rsid w:val="00E55401"/>
    <w:rsid w:val="00E55F0C"/>
    <w:rsid w:val="00E70A88"/>
    <w:rsid w:val="00E72728"/>
    <w:rsid w:val="00E72EC5"/>
    <w:rsid w:val="00E73E61"/>
    <w:rsid w:val="00E77B7D"/>
    <w:rsid w:val="00E8073E"/>
    <w:rsid w:val="00E81DF0"/>
    <w:rsid w:val="00E8426F"/>
    <w:rsid w:val="00EA70DA"/>
    <w:rsid w:val="00EA7708"/>
    <w:rsid w:val="00EA77AD"/>
    <w:rsid w:val="00EB25F2"/>
    <w:rsid w:val="00EB3FB7"/>
    <w:rsid w:val="00EB4779"/>
    <w:rsid w:val="00EB6C89"/>
    <w:rsid w:val="00EB716C"/>
    <w:rsid w:val="00EC0156"/>
    <w:rsid w:val="00EC513E"/>
    <w:rsid w:val="00EC6658"/>
    <w:rsid w:val="00EC76C7"/>
    <w:rsid w:val="00ED0B64"/>
    <w:rsid w:val="00ED1C07"/>
    <w:rsid w:val="00ED7406"/>
    <w:rsid w:val="00ED7DFD"/>
    <w:rsid w:val="00EE527C"/>
    <w:rsid w:val="00EE58BE"/>
    <w:rsid w:val="00EF052F"/>
    <w:rsid w:val="00EF1B19"/>
    <w:rsid w:val="00EF23FE"/>
    <w:rsid w:val="00EF6FF9"/>
    <w:rsid w:val="00EF7F9C"/>
    <w:rsid w:val="00F010CE"/>
    <w:rsid w:val="00F035F9"/>
    <w:rsid w:val="00F04FBD"/>
    <w:rsid w:val="00F062B7"/>
    <w:rsid w:val="00F13AE2"/>
    <w:rsid w:val="00F20124"/>
    <w:rsid w:val="00F23C08"/>
    <w:rsid w:val="00F26AB1"/>
    <w:rsid w:val="00F26AE7"/>
    <w:rsid w:val="00F30CEB"/>
    <w:rsid w:val="00F3235F"/>
    <w:rsid w:val="00F34DC2"/>
    <w:rsid w:val="00F37D61"/>
    <w:rsid w:val="00F427F8"/>
    <w:rsid w:val="00F44D67"/>
    <w:rsid w:val="00F45955"/>
    <w:rsid w:val="00F504B3"/>
    <w:rsid w:val="00F52846"/>
    <w:rsid w:val="00F532BE"/>
    <w:rsid w:val="00F535F0"/>
    <w:rsid w:val="00F53821"/>
    <w:rsid w:val="00F53E49"/>
    <w:rsid w:val="00F54D73"/>
    <w:rsid w:val="00F57D51"/>
    <w:rsid w:val="00F61C3F"/>
    <w:rsid w:val="00F62ADC"/>
    <w:rsid w:val="00F648F9"/>
    <w:rsid w:val="00F64E82"/>
    <w:rsid w:val="00F65E77"/>
    <w:rsid w:val="00F667C3"/>
    <w:rsid w:val="00F66892"/>
    <w:rsid w:val="00F6704C"/>
    <w:rsid w:val="00F678FA"/>
    <w:rsid w:val="00F7030E"/>
    <w:rsid w:val="00F739D0"/>
    <w:rsid w:val="00F75FF0"/>
    <w:rsid w:val="00F81B75"/>
    <w:rsid w:val="00F84167"/>
    <w:rsid w:val="00F84618"/>
    <w:rsid w:val="00F847AA"/>
    <w:rsid w:val="00F86D4F"/>
    <w:rsid w:val="00F9211B"/>
    <w:rsid w:val="00F935E8"/>
    <w:rsid w:val="00F93DF0"/>
    <w:rsid w:val="00F943B8"/>
    <w:rsid w:val="00F952CF"/>
    <w:rsid w:val="00FA0911"/>
    <w:rsid w:val="00FA14DA"/>
    <w:rsid w:val="00FA320A"/>
    <w:rsid w:val="00FA35CF"/>
    <w:rsid w:val="00FA70F7"/>
    <w:rsid w:val="00FB1928"/>
    <w:rsid w:val="00FB1B8E"/>
    <w:rsid w:val="00FB2FC4"/>
    <w:rsid w:val="00FB376A"/>
    <w:rsid w:val="00FB6947"/>
    <w:rsid w:val="00FB7637"/>
    <w:rsid w:val="00FC010E"/>
    <w:rsid w:val="00FC2F48"/>
    <w:rsid w:val="00FC6C11"/>
    <w:rsid w:val="00FC7B68"/>
    <w:rsid w:val="00FD798A"/>
    <w:rsid w:val="00FD7F8F"/>
    <w:rsid w:val="00FE0AFD"/>
    <w:rsid w:val="00FE2F1A"/>
    <w:rsid w:val="00FE48A6"/>
    <w:rsid w:val="00FE644F"/>
    <w:rsid w:val="00FF151E"/>
    <w:rsid w:val="08A76E9D"/>
    <w:rsid w:val="0ABAF69B"/>
    <w:rsid w:val="0E081708"/>
    <w:rsid w:val="114DC042"/>
    <w:rsid w:val="1509EEBD"/>
    <w:rsid w:val="18812133"/>
    <w:rsid w:val="18B23FC7"/>
    <w:rsid w:val="1F947BF1"/>
    <w:rsid w:val="2785C536"/>
    <w:rsid w:val="2B78E176"/>
    <w:rsid w:val="2D17DA41"/>
    <w:rsid w:val="2EF48063"/>
    <w:rsid w:val="39B9E5C8"/>
    <w:rsid w:val="3B6D0139"/>
    <w:rsid w:val="3CCCA51D"/>
    <w:rsid w:val="4090C706"/>
    <w:rsid w:val="40968BE9"/>
    <w:rsid w:val="40B79E52"/>
    <w:rsid w:val="44D986D3"/>
    <w:rsid w:val="456AB6DA"/>
    <w:rsid w:val="4B2C02CC"/>
    <w:rsid w:val="50951652"/>
    <w:rsid w:val="55634641"/>
    <w:rsid w:val="557ED887"/>
    <w:rsid w:val="58B839D8"/>
    <w:rsid w:val="58D22439"/>
    <w:rsid w:val="5979F11F"/>
    <w:rsid w:val="5F2C5D6C"/>
    <w:rsid w:val="6364A39E"/>
    <w:rsid w:val="6409630D"/>
    <w:rsid w:val="6526FFB7"/>
    <w:rsid w:val="68D13B8F"/>
    <w:rsid w:val="6B0F4872"/>
    <w:rsid w:val="6BADD64A"/>
    <w:rsid w:val="6FD2F5ED"/>
    <w:rsid w:val="786C87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78E06"/>
  <w15:chartTrackingRefBased/>
  <w15:docId w15:val="{2855A759-1A4D-4E50-A0B4-FD4E9A5AA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6CCF"/>
    <w:pPr>
      <w:keepNext/>
      <w:keepLines/>
      <w:spacing w:before="240" w:after="0"/>
      <w:outlineLvl w:val="0"/>
    </w:pPr>
    <w:rPr>
      <w:rFonts w:asciiTheme="majorHAnsi" w:eastAsiaTheme="majorEastAsia" w:hAnsiTheme="majorHAnsi" w:cstheme="majorBidi"/>
      <w:b/>
      <w:color w:val="532477" w:themeColor="accent1" w:themeShade="BF"/>
      <w:sz w:val="28"/>
      <w:szCs w:val="32"/>
    </w:rPr>
  </w:style>
  <w:style w:type="paragraph" w:styleId="Heading2">
    <w:name w:val="heading 2"/>
    <w:basedOn w:val="Normal"/>
    <w:next w:val="Normal"/>
    <w:link w:val="Heading2Char"/>
    <w:uiPriority w:val="9"/>
    <w:unhideWhenUsed/>
    <w:qFormat/>
    <w:rsid w:val="00666CCF"/>
    <w:pPr>
      <w:keepNext/>
      <w:keepLines/>
      <w:spacing w:before="40" w:after="0"/>
      <w:outlineLvl w:val="1"/>
    </w:pPr>
    <w:rPr>
      <w:rFonts w:asciiTheme="majorHAnsi" w:eastAsiaTheme="majorEastAsia" w:hAnsiTheme="majorHAnsi" w:cstheme="majorBidi"/>
      <w:b/>
      <w:color w:val="F06E2F"/>
      <w:sz w:val="28"/>
      <w:szCs w:val="26"/>
    </w:rPr>
  </w:style>
  <w:style w:type="paragraph" w:styleId="Heading3">
    <w:name w:val="heading 3"/>
    <w:basedOn w:val="Normal"/>
    <w:next w:val="Normal"/>
    <w:link w:val="Heading3Char"/>
    <w:uiPriority w:val="9"/>
    <w:semiHidden/>
    <w:unhideWhenUsed/>
    <w:qFormat/>
    <w:rsid w:val="0052081F"/>
    <w:pPr>
      <w:keepNext/>
      <w:keepLines/>
      <w:spacing w:before="40" w:after="0"/>
      <w:outlineLvl w:val="2"/>
    </w:pPr>
    <w:rPr>
      <w:rFonts w:asciiTheme="majorHAnsi" w:eastAsiaTheme="majorEastAsia" w:hAnsiTheme="majorHAnsi" w:cstheme="majorBidi"/>
      <w:color w:val="37184F"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Tabtitle">
    <w:name w:val="P_Tab title"/>
    <w:basedOn w:val="Normal"/>
    <w:qFormat/>
    <w:rsid w:val="00666CCF"/>
    <w:pPr>
      <w:spacing w:after="120" w:line="240" w:lineRule="auto"/>
    </w:pPr>
    <w:rPr>
      <w:b/>
      <w:color w:val="2A4084"/>
      <w:sz w:val="48"/>
      <w:szCs w:val="44"/>
    </w:rPr>
  </w:style>
  <w:style w:type="paragraph" w:customStyle="1" w:styleId="PTabSubtitle">
    <w:name w:val="P_Tab Subtitle"/>
    <w:basedOn w:val="PTabtitle"/>
    <w:qFormat/>
    <w:rsid w:val="00666CCF"/>
    <w:pPr>
      <w:spacing w:after="360"/>
    </w:pPr>
    <w:rPr>
      <w:color w:val="59BFF9"/>
      <w:sz w:val="32"/>
    </w:rPr>
  </w:style>
  <w:style w:type="paragraph" w:customStyle="1" w:styleId="PBodytext">
    <w:name w:val="P_Body text"/>
    <w:basedOn w:val="Normal"/>
    <w:qFormat/>
    <w:rsid w:val="00147802"/>
    <w:pPr>
      <w:spacing w:before="120" w:after="120" w:line="240" w:lineRule="auto"/>
    </w:pPr>
    <w:rPr>
      <w:color w:val="000000" w:themeColor="text1"/>
      <w:szCs w:val="20"/>
    </w:rPr>
  </w:style>
  <w:style w:type="character" w:customStyle="1" w:styleId="Heading1Char">
    <w:name w:val="Heading 1 Char"/>
    <w:basedOn w:val="DefaultParagraphFont"/>
    <w:link w:val="Heading1"/>
    <w:uiPriority w:val="9"/>
    <w:rsid w:val="00666CCF"/>
    <w:rPr>
      <w:rFonts w:asciiTheme="majorHAnsi" w:eastAsiaTheme="majorEastAsia" w:hAnsiTheme="majorHAnsi" w:cstheme="majorBidi"/>
      <w:b/>
      <w:color w:val="532477" w:themeColor="accent1" w:themeShade="BF"/>
      <w:sz w:val="28"/>
      <w:szCs w:val="32"/>
    </w:rPr>
  </w:style>
  <w:style w:type="character" w:customStyle="1" w:styleId="Heading2Char">
    <w:name w:val="Heading 2 Char"/>
    <w:basedOn w:val="DefaultParagraphFont"/>
    <w:link w:val="Heading2"/>
    <w:uiPriority w:val="9"/>
    <w:rsid w:val="00666CCF"/>
    <w:rPr>
      <w:rFonts w:asciiTheme="majorHAnsi" w:eastAsiaTheme="majorEastAsia" w:hAnsiTheme="majorHAnsi" w:cstheme="majorBidi"/>
      <w:b/>
      <w:color w:val="F06E2F"/>
      <w:sz w:val="28"/>
      <w:szCs w:val="26"/>
    </w:rPr>
  </w:style>
  <w:style w:type="paragraph" w:customStyle="1" w:styleId="PHeading1">
    <w:name w:val="P_Heading 1"/>
    <w:basedOn w:val="Heading1"/>
    <w:qFormat/>
    <w:rsid w:val="00456ED8"/>
    <w:pPr>
      <w:spacing w:line="240" w:lineRule="auto"/>
    </w:pPr>
    <w:rPr>
      <w:sz w:val="36"/>
      <w:szCs w:val="36"/>
    </w:rPr>
  </w:style>
  <w:style w:type="paragraph" w:customStyle="1" w:styleId="PHeading2">
    <w:name w:val="P_Heading 2"/>
    <w:basedOn w:val="Heading2"/>
    <w:qFormat/>
    <w:rsid w:val="000D7104"/>
    <w:pPr>
      <w:spacing w:before="240" w:line="240" w:lineRule="auto"/>
    </w:pPr>
    <w:rPr>
      <w:color w:val="0070C0"/>
    </w:rPr>
  </w:style>
  <w:style w:type="paragraph" w:customStyle="1" w:styleId="PHeading3">
    <w:name w:val="P_Heading 3"/>
    <w:basedOn w:val="PHeading2"/>
    <w:qFormat/>
    <w:rsid w:val="000D7104"/>
    <w:rPr>
      <w:color w:val="565656" w:themeColor="accent2"/>
    </w:rPr>
  </w:style>
  <w:style w:type="paragraph" w:customStyle="1" w:styleId="PHeading4">
    <w:name w:val="P_Heading 4"/>
    <w:basedOn w:val="PHeading3"/>
    <w:qFormat/>
    <w:rsid w:val="000D7104"/>
    <w:rPr>
      <w:color w:val="038DDA" w:themeColor="accent3"/>
    </w:rPr>
  </w:style>
  <w:style w:type="paragraph" w:customStyle="1" w:styleId="PHeading5">
    <w:name w:val="P_Heading 5"/>
    <w:basedOn w:val="PHeading4"/>
    <w:qFormat/>
    <w:rsid w:val="00E70A88"/>
    <w:rPr>
      <w:color w:val="808080" w:themeColor="background1" w:themeShade="80"/>
    </w:rPr>
  </w:style>
  <w:style w:type="paragraph" w:customStyle="1" w:styleId="PSubheading1">
    <w:name w:val="P_Subheading 1"/>
    <w:basedOn w:val="PHeading1"/>
    <w:qFormat/>
    <w:rsid w:val="00CC59E5"/>
    <w:pPr>
      <w:spacing w:before="120"/>
    </w:pPr>
    <w:rPr>
      <w:color w:val="26438D"/>
      <w:sz w:val="28"/>
      <w:szCs w:val="28"/>
    </w:rPr>
  </w:style>
  <w:style w:type="paragraph" w:customStyle="1" w:styleId="PSubheading2">
    <w:name w:val="P_Subheading 2"/>
    <w:basedOn w:val="PSubheading1"/>
    <w:qFormat/>
    <w:rsid w:val="005B079F"/>
    <w:rPr>
      <w:color w:val="F5A605"/>
      <w:sz w:val="24"/>
      <w:szCs w:val="24"/>
    </w:rPr>
  </w:style>
  <w:style w:type="table" w:styleId="TableGrid">
    <w:name w:val="Table Grid"/>
    <w:basedOn w:val="TableNormal"/>
    <w:uiPriority w:val="39"/>
    <w:rsid w:val="00E70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ableheaderwhite">
    <w:name w:val="P_Table header white"/>
    <w:basedOn w:val="PBodytext"/>
    <w:qFormat/>
    <w:rsid w:val="00E70A88"/>
    <w:pPr>
      <w:spacing w:before="0" w:after="0"/>
    </w:pPr>
    <w:rPr>
      <w:b/>
      <w:sz w:val="16"/>
    </w:rPr>
  </w:style>
  <w:style w:type="paragraph" w:customStyle="1" w:styleId="PTablebodytext">
    <w:name w:val="P_Table body text"/>
    <w:basedOn w:val="PBodytext"/>
    <w:qFormat/>
    <w:rsid w:val="007B0C7E"/>
    <w:pPr>
      <w:spacing w:before="0" w:after="0"/>
    </w:pPr>
    <w:rPr>
      <w:sz w:val="20"/>
    </w:rPr>
  </w:style>
  <w:style w:type="paragraph" w:customStyle="1" w:styleId="PSubheading3">
    <w:name w:val="P_Subheading 3"/>
    <w:basedOn w:val="PSubheading2"/>
    <w:qFormat/>
    <w:rsid w:val="00C22EE1"/>
    <w:pPr>
      <w:numPr>
        <w:ilvl w:val="1"/>
        <w:numId w:val="11"/>
      </w:numPr>
      <w:ind w:left="360"/>
    </w:pPr>
    <w:rPr>
      <w:noProof/>
      <w:color w:val="2A4084" w:themeColor="text2"/>
      <w:sz w:val="22"/>
      <w:szCs w:val="20"/>
    </w:rPr>
  </w:style>
  <w:style w:type="paragraph" w:customStyle="1" w:styleId="PTableheaderblack">
    <w:name w:val="P_Table header black"/>
    <w:basedOn w:val="PTableheaderwhite"/>
    <w:qFormat/>
    <w:rsid w:val="007B0C7E"/>
    <w:rPr>
      <w:sz w:val="20"/>
      <w:szCs w:val="24"/>
    </w:rPr>
  </w:style>
  <w:style w:type="paragraph" w:customStyle="1" w:styleId="PFiguretitle">
    <w:name w:val="P_Figure title"/>
    <w:basedOn w:val="PBodytext"/>
    <w:qFormat/>
    <w:rsid w:val="002C189C"/>
    <w:rPr>
      <w:b/>
      <w:sz w:val="16"/>
    </w:rPr>
  </w:style>
  <w:style w:type="paragraph" w:styleId="Header">
    <w:name w:val="header"/>
    <w:basedOn w:val="Normal"/>
    <w:link w:val="HeaderChar"/>
    <w:uiPriority w:val="99"/>
    <w:unhideWhenUsed/>
    <w:rsid w:val="002F10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103E"/>
  </w:style>
  <w:style w:type="paragraph" w:styleId="Footer">
    <w:name w:val="footer"/>
    <w:basedOn w:val="Normal"/>
    <w:link w:val="FooterChar"/>
    <w:uiPriority w:val="99"/>
    <w:unhideWhenUsed/>
    <w:rsid w:val="002F10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103E"/>
  </w:style>
  <w:style w:type="paragraph" w:customStyle="1" w:styleId="PBulletlevel1">
    <w:name w:val="P_Bullet level 1"/>
    <w:basedOn w:val="PBodytext"/>
    <w:qFormat/>
    <w:rsid w:val="00B43DC3"/>
    <w:pPr>
      <w:numPr>
        <w:numId w:val="1"/>
      </w:numPr>
      <w:spacing w:before="60" w:after="60"/>
    </w:pPr>
  </w:style>
  <w:style w:type="paragraph" w:customStyle="1" w:styleId="PBulletlevel2">
    <w:name w:val="P_Bullet level 2"/>
    <w:basedOn w:val="PBulletlevel1"/>
    <w:qFormat/>
    <w:rsid w:val="00C22E1D"/>
    <w:pPr>
      <w:numPr>
        <w:numId w:val="2"/>
      </w:numPr>
      <w:ind w:left="548" w:hanging="274"/>
    </w:pPr>
  </w:style>
  <w:style w:type="paragraph" w:customStyle="1" w:styleId="PBulletlevel3">
    <w:name w:val="P_Bullet level 3"/>
    <w:basedOn w:val="PBulletlevel2"/>
    <w:qFormat/>
    <w:rsid w:val="004C5167"/>
    <w:pPr>
      <w:numPr>
        <w:numId w:val="3"/>
      </w:numPr>
      <w:ind w:left="810" w:hanging="270"/>
    </w:pPr>
  </w:style>
  <w:style w:type="paragraph" w:customStyle="1" w:styleId="PNumberlevel1">
    <w:name w:val="P_Number level 1"/>
    <w:basedOn w:val="PBulletlevel1"/>
    <w:qFormat/>
    <w:rsid w:val="00BE431F"/>
    <w:pPr>
      <w:numPr>
        <w:numId w:val="4"/>
      </w:numPr>
      <w:ind w:left="360"/>
    </w:pPr>
  </w:style>
  <w:style w:type="paragraph" w:customStyle="1" w:styleId="PNumberlevel2">
    <w:name w:val="P_Number level 2"/>
    <w:basedOn w:val="PBulletlevel2"/>
    <w:qFormat/>
    <w:rsid w:val="00BE431F"/>
    <w:pPr>
      <w:numPr>
        <w:numId w:val="5"/>
      </w:numPr>
      <w:ind w:left="720"/>
    </w:pPr>
  </w:style>
  <w:style w:type="paragraph" w:customStyle="1" w:styleId="PNumberlevel3">
    <w:name w:val="P_Number level 3"/>
    <w:basedOn w:val="PBulletlevel3"/>
    <w:qFormat/>
    <w:rsid w:val="00BE431F"/>
    <w:pPr>
      <w:numPr>
        <w:numId w:val="6"/>
      </w:numPr>
      <w:ind w:left="990" w:hanging="180"/>
    </w:pPr>
  </w:style>
  <w:style w:type="paragraph" w:customStyle="1" w:styleId="PTablebulletlevel1">
    <w:name w:val="P_Table bullet level 1"/>
    <w:basedOn w:val="PBulletlevel1"/>
    <w:qFormat/>
    <w:rsid w:val="001E64A4"/>
    <w:pPr>
      <w:spacing w:before="0" w:after="0"/>
      <w:ind w:left="202" w:hanging="202"/>
    </w:pPr>
    <w:rPr>
      <w:sz w:val="16"/>
      <w:szCs w:val="16"/>
    </w:rPr>
  </w:style>
  <w:style w:type="paragraph" w:customStyle="1" w:styleId="PTablebulletlevel2">
    <w:name w:val="P_Table bullet level 2"/>
    <w:basedOn w:val="PTablebulletlevel1"/>
    <w:qFormat/>
    <w:rsid w:val="001E64A4"/>
    <w:pPr>
      <w:numPr>
        <w:numId w:val="7"/>
      </w:numPr>
      <w:ind w:left="468" w:hanging="270"/>
    </w:pPr>
  </w:style>
  <w:style w:type="paragraph" w:customStyle="1" w:styleId="PTablenumberlevel1">
    <w:name w:val="P_Table number level 1"/>
    <w:basedOn w:val="PTablebulletlevel1"/>
    <w:next w:val="PTablebodytext"/>
    <w:rsid w:val="00264D78"/>
    <w:pPr>
      <w:numPr>
        <w:numId w:val="8"/>
      </w:numPr>
      <w:ind w:left="288" w:hanging="270"/>
    </w:pPr>
  </w:style>
  <w:style w:type="paragraph" w:customStyle="1" w:styleId="PTablenumberlevel2">
    <w:name w:val="P_Table number level 2"/>
    <w:basedOn w:val="PTablenumberlevel1"/>
    <w:qFormat/>
    <w:rsid w:val="00264D78"/>
    <w:pPr>
      <w:numPr>
        <w:numId w:val="9"/>
      </w:numPr>
      <w:ind w:left="558" w:hanging="270"/>
    </w:pPr>
  </w:style>
  <w:style w:type="paragraph" w:styleId="Title">
    <w:name w:val="Title"/>
    <w:basedOn w:val="Normal"/>
    <w:next w:val="Normal"/>
    <w:link w:val="TitleChar"/>
    <w:uiPriority w:val="10"/>
    <w:qFormat/>
    <w:rsid w:val="004A5651"/>
    <w:pPr>
      <w:pBdr>
        <w:bottom w:val="single" w:sz="8" w:space="4" w:color="7030A0" w:themeColor="accent1"/>
      </w:pBdr>
      <w:spacing w:after="300" w:line="240" w:lineRule="auto"/>
      <w:contextualSpacing/>
    </w:pPr>
    <w:rPr>
      <w:rFonts w:asciiTheme="majorHAnsi" w:eastAsiaTheme="majorEastAsia" w:hAnsiTheme="majorHAnsi" w:cstheme="majorBidi"/>
      <w:color w:val="1F2F62" w:themeColor="text2" w:themeShade="BF"/>
      <w:spacing w:val="5"/>
      <w:kern w:val="28"/>
      <w:sz w:val="52"/>
      <w:szCs w:val="52"/>
    </w:rPr>
  </w:style>
  <w:style w:type="character" w:customStyle="1" w:styleId="TitleChar">
    <w:name w:val="Title Char"/>
    <w:basedOn w:val="DefaultParagraphFont"/>
    <w:link w:val="Title"/>
    <w:uiPriority w:val="10"/>
    <w:rsid w:val="004A5651"/>
    <w:rPr>
      <w:rFonts w:asciiTheme="majorHAnsi" w:eastAsiaTheme="majorEastAsia" w:hAnsiTheme="majorHAnsi" w:cstheme="majorBidi"/>
      <w:color w:val="1F2F62" w:themeColor="text2" w:themeShade="BF"/>
      <w:spacing w:val="5"/>
      <w:kern w:val="28"/>
      <w:sz w:val="52"/>
      <w:szCs w:val="52"/>
    </w:rPr>
  </w:style>
  <w:style w:type="paragraph" w:styleId="ListParagraph">
    <w:name w:val="List Paragraph"/>
    <w:basedOn w:val="Normal"/>
    <w:uiPriority w:val="34"/>
    <w:qFormat/>
    <w:rsid w:val="004A5651"/>
    <w:pPr>
      <w:spacing w:after="200" w:line="276" w:lineRule="auto"/>
      <w:ind w:left="720"/>
      <w:contextualSpacing/>
    </w:pPr>
    <w:rPr>
      <w:rFonts w:eastAsiaTheme="minorEastAsia"/>
    </w:rPr>
  </w:style>
  <w:style w:type="table" w:styleId="PlainTable1">
    <w:name w:val="Plain Table 1"/>
    <w:basedOn w:val="TableNormal"/>
    <w:uiPriority w:val="99"/>
    <w:rsid w:val="0057556D"/>
    <w:pPr>
      <w:spacing w:after="0" w:line="240" w:lineRule="auto"/>
    </w:pPr>
    <w:rPr>
      <w:rFonts w:eastAsiaTheme="minorEastAsi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Heading">
    <w:name w:val="TOC Heading"/>
    <w:basedOn w:val="Heading1"/>
    <w:next w:val="Normal"/>
    <w:uiPriority w:val="39"/>
    <w:unhideWhenUsed/>
    <w:qFormat/>
    <w:rsid w:val="006A0574"/>
    <w:pPr>
      <w:outlineLvl w:val="9"/>
    </w:pPr>
    <w:rPr>
      <w:b w:val="0"/>
      <w:sz w:val="32"/>
    </w:rPr>
  </w:style>
  <w:style w:type="paragraph" w:styleId="TOC1">
    <w:name w:val="toc 1"/>
    <w:basedOn w:val="Normal"/>
    <w:next w:val="Normal"/>
    <w:autoRedefine/>
    <w:uiPriority w:val="39"/>
    <w:unhideWhenUsed/>
    <w:rsid w:val="000660F5"/>
    <w:pPr>
      <w:tabs>
        <w:tab w:val="right" w:leader="dot" w:pos="9350"/>
      </w:tabs>
      <w:spacing w:after="100"/>
    </w:pPr>
    <w:rPr>
      <w:b/>
      <w:bCs/>
      <w:noProof/>
    </w:rPr>
  </w:style>
  <w:style w:type="paragraph" w:styleId="TOC2">
    <w:name w:val="toc 2"/>
    <w:basedOn w:val="Normal"/>
    <w:next w:val="Normal"/>
    <w:autoRedefine/>
    <w:uiPriority w:val="39"/>
    <w:unhideWhenUsed/>
    <w:rsid w:val="00324FAA"/>
    <w:pPr>
      <w:tabs>
        <w:tab w:val="right" w:leader="dot" w:pos="9350"/>
      </w:tabs>
      <w:spacing w:after="100"/>
      <w:ind w:left="220"/>
    </w:pPr>
    <w:rPr>
      <w:b/>
      <w:bCs/>
      <w:noProof/>
    </w:rPr>
  </w:style>
  <w:style w:type="character" w:styleId="Hyperlink">
    <w:name w:val="Hyperlink"/>
    <w:basedOn w:val="DefaultParagraphFont"/>
    <w:uiPriority w:val="99"/>
    <w:unhideWhenUsed/>
    <w:rsid w:val="006A0574"/>
    <w:rPr>
      <w:color w:val="7030A0" w:themeColor="hyperlink"/>
      <w:u w:val="single"/>
    </w:rPr>
  </w:style>
  <w:style w:type="character" w:styleId="UnresolvedMention">
    <w:name w:val="Unresolved Mention"/>
    <w:basedOn w:val="DefaultParagraphFont"/>
    <w:uiPriority w:val="99"/>
    <w:semiHidden/>
    <w:unhideWhenUsed/>
    <w:rsid w:val="00835376"/>
    <w:rPr>
      <w:color w:val="605E5C"/>
      <w:shd w:val="clear" w:color="auto" w:fill="E1DFDD"/>
    </w:rPr>
  </w:style>
  <w:style w:type="character" w:styleId="CommentReference">
    <w:name w:val="annotation reference"/>
    <w:basedOn w:val="DefaultParagraphFont"/>
    <w:uiPriority w:val="99"/>
    <w:semiHidden/>
    <w:unhideWhenUsed/>
    <w:rsid w:val="002F74E5"/>
    <w:rPr>
      <w:sz w:val="16"/>
      <w:szCs w:val="16"/>
    </w:rPr>
  </w:style>
  <w:style w:type="paragraph" w:styleId="CommentText">
    <w:name w:val="annotation text"/>
    <w:basedOn w:val="Normal"/>
    <w:link w:val="CommentTextChar"/>
    <w:uiPriority w:val="99"/>
    <w:unhideWhenUsed/>
    <w:rsid w:val="002F74E5"/>
    <w:pPr>
      <w:spacing w:line="240" w:lineRule="auto"/>
    </w:pPr>
    <w:rPr>
      <w:sz w:val="20"/>
      <w:szCs w:val="20"/>
    </w:rPr>
  </w:style>
  <w:style w:type="character" w:customStyle="1" w:styleId="CommentTextChar">
    <w:name w:val="Comment Text Char"/>
    <w:basedOn w:val="DefaultParagraphFont"/>
    <w:link w:val="CommentText"/>
    <w:uiPriority w:val="99"/>
    <w:rsid w:val="002F74E5"/>
    <w:rPr>
      <w:sz w:val="20"/>
      <w:szCs w:val="20"/>
    </w:rPr>
  </w:style>
  <w:style w:type="paragraph" w:styleId="CommentSubject">
    <w:name w:val="annotation subject"/>
    <w:basedOn w:val="CommentText"/>
    <w:next w:val="CommentText"/>
    <w:link w:val="CommentSubjectChar"/>
    <w:uiPriority w:val="99"/>
    <w:semiHidden/>
    <w:unhideWhenUsed/>
    <w:rsid w:val="002F74E5"/>
    <w:rPr>
      <w:b/>
      <w:bCs/>
    </w:rPr>
  </w:style>
  <w:style w:type="character" w:customStyle="1" w:styleId="CommentSubjectChar">
    <w:name w:val="Comment Subject Char"/>
    <w:basedOn w:val="CommentTextChar"/>
    <w:link w:val="CommentSubject"/>
    <w:uiPriority w:val="99"/>
    <w:semiHidden/>
    <w:rsid w:val="002F74E5"/>
    <w:rPr>
      <w:b/>
      <w:bCs/>
      <w:sz w:val="20"/>
      <w:szCs w:val="20"/>
    </w:rPr>
  </w:style>
  <w:style w:type="character" w:styleId="Mention">
    <w:name w:val="Mention"/>
    <w:basedOn w:val="DefaultParagraphFont"/>
    <w:uiPriority w:val="99"/>
    <w:unhideWhenUsed/>
    <w:rsid w:val="002F74E5"/>
    <w:rPr>
      <w:color w:val="2B579A"/>
      <w:shd w:val="clear" w:color="auto" w:fill="E1DFDD"/>
    </w:rPr>
  </w:style>
  <w:style w:type="paragraph" w:styleId="NormalWeb">
    <w:name w:val="Normal (Web)"/>
    <w:basedOn w:val="Normal"/>
    <w:uiPriority w:val="99"/>
    <w:semiHidden/>
    <w:unhideWhenUsed/>
    <w:rsid w:val="002F74E5"/>
    <w:rPr>
      <w:rFonts w:ascii="Times New Roman" w:hAnsi="Times New Roman" w:cs="Times New Roman"/>
      <w:sz w:val="24"/>
      <w:szCs w:val="24"/>
    </w:rPr>
  </w:style>
  <w:style w:type="character" w:customStyle="1" w:styleId="Heading3Char">
    <w:name w:val="Heading 3 Char"/>
    <w:basedOn w:val="DefaultParagraphFont"/>
    <w:link w:val="Heading3"/>
    <w:uiPriority w:val="9"/>
    <w:semiHidden/>
    <w:rsid w:val="0052081F"/>
    <w:rPr>
      <w:rFonts w:asciiTheme="majorHAnsi" w:eastAsiaTheme="majorEastAsia" w:hAnsiTheme="majorHAnsi" w:cstheme="majorBidi"/>
      <w:color w:val="37184F" w:themeColor="accent1" w:themeShade="7F"/>
      <w:sz w:val="24"/>
      <w:szCs w:val="24"/>
    </w:rPr>
  </w:style>
  <w:style w:type="paragraph" w:styleId="TOC3">
    <w:name w:val="toc 3"/>
    <w:basedOn w:val="Normal"/>
    <w:next w:val="Normal"/>
    <w:autoRedefine/>
    <w:uiPriority w:val="39"/>
    <w:unhideWhenUsed/>
    <w:rsid w:val="00222E29"/>
    <w:pPr>
      <w:spacing w:after="100" w:line="278" w:lineRule="auto"/>
      <w:ind w:left="480"/>
    </w:pPr>
    <w:rPr>
      <w:rFonts w:eastAsiaTheme="minorEastAsia"/>
      <w:kern w:val="2"/>
      <w:sz w:val="24"/>
      <w:szCs w:val="24"/>
      <w:lang w:val="en-IN" w:eastAsia="en-IN"/>
      <w14:ligatures w14:val="standardContextual"/>
    </w:rPr>
  </w:style>
  <w:style w:type="paragraph" w:styleId="TOC4">
    <w:name w:val="toc 4"/>
    <w:basedOn w:val="Normal"/>
    <w:next w:val="Normal"/>
    <w:autoRedefine/>
    <w:uiPriority w:val="39"/>
    <w:unhideWhenUsed/>
    <w:rsid w:val="00222E29"/>
    <w:pPr>
      <w:spacing w:after="100" w:line="278" w:lineRule="auto"/>
      <w:ind w:left="720"/>
    </w:pPr>
    <w:rPr>
      <w:rFonts w:eastAsiaTheme="minorEastAsia"/>
      <w:kern w:val="2"/>
      <w:sz w:val="24"/>
      <w:szCs w:val="24"/>
      <w:lang w:val="en-IN" w:eastAsia="en-IN"/>
      <w14:ligatures w14:val="standardContextual"/>
    </w:rPr>
  </w:style>
  <w:style w:type="paragraph" w:styleId="TOC5">
    <w:name w:val="toc 5"/>
    <w:basedOn w:val="Normal"/>
    <w:next w:val="Normal"/>
    <w:autoRedefine/>
    <w:uiPriority w:val="39"/>
    <w:unhideWhenUsed/>
    <w:rsid w:val="00222E29"/>
    <w:pPr>
      <w:spacing w:after="100" w:line="278" w:lineRule="auto"/>
      <w:ind w:left="960"/>
    </w:pPr>
    <w:rPr>
      <w:rFonts w:eastAsiaTheme="minorEastAsia"/>
      <w:kern w:val="2"/>
      <w:sz w:val="24"/>
      <w:szCs w:val="24"/>
      <w:lang w:val="en-IN" w:eastAsia="en-IN"/>
      <w14:ligatures w14:val="standardContextual"/>
    </w:rPr>
  </w:style>
  <w:style w:type="paragraph" w:styleId="TOC6">
    <w:name w:val="toc 6"/>
    <w:basedOn w:val="Normal"/>
    <w:next w:val="Normal"/>
    <w:autoRedefine/>
    <w:uiPriority w:val="39"/>
    <w:unhideWhenUsed/>
    <w:rsid w:val="00222E29"/>
    <w:pPr>
      <w:spacing w:after="100" w:line="278" w:lineRule="auto"/>
      <w:ind w:left="1200"/>
    </w:pPr>
    <w:rPr>
      <w:rFonts w:eastAsiaTheme="minorEastAsia"/>
      <w:kern w:val="2"/>
      <w:sz w:val="24"/>
      <w:szCs w:val="24"/>
      <w:lang w:val="en-IN" w:eastAsia="en-IN"/>
      <w14:ligatures w14:val="standardContextual"/>
    </w:rPr>
  </w:style>
  <w:style w:type="paragraph" w:styleId="TOC7">
    <w:name w:val="toc 7"/>
    <w:basedOn w:val="Normal"/>
    <w:next w:val="Normal"/>
    <w:autoRedefine/>
    <w:uiPriority w:val="39"/>
    <w:unhideWhenUsed/>
    <w:rsid w:val="00222E29"/>
    <w:pPr>
      <w:spacing w:after="100" w:line="278" w:lineRule="auto"/>
      <w:ind w:left="1440"/>
    </w:pPr>
    <w:rPr>
      <w:rFonts w:eastAsiaTheme="minorEastAsia"/>
      <w:kern w:val="2"/>
      <w:sz w:val="24"/>
      <w:szCs w:val="24"/>
      <w:lang w:val="en-IN" w:eastAsia="en-IN"/>
      <w14:ligatures w14:val="standardContextual"/>
    </w:rPr>
  </w:style>
  <w:style w:type="paragraph" w:styleId="TOC8">
    <w:name w:val="toc 8"/>
    <w:basedOn w:val="Normal"/>
    <w:next w:val="Normal"/>
    <w:autoRedefine/>
    <w:uiPriority w:val="39"/>
    <w:unhideWhenUsed/>
    <w:rsid w:val="00222E29"/>
    <w:pPr>
      <w:spacing w:after="100" w:line="278" w:lineRule="auto"/>
      <w:ind w:left="1680"/>
    </w:pPr>
    <w:rPr>
      <w:rFonts w:eastAsiaTheme="minorEastAsia"/>
      <w:kern w:val="2"/>
      <w:sz w:val="24"/>
      <w:szCs w:val="24"/>
      <w:lang w:val="en-IN" w:eastAsia="en-IN"/>
      <w14:ligatures w14:val="standardContextual"/>
    </w:rPr>
  </w:style>
  <w:style w:type="paragraph" w:styleId="TOC9">
    <w:name w:val="toc 9"/>
    <w:basedOn w:val="Normal"/>
    <w:next w:val="Normal"/>
    <w:autoRedefine/>
    <w:uiPriority w:val="39"/>
    <w:unhideWhenUsed/>
    <w:rsid w:val="00222E29"/>
    <w:pPr>
      <w:spacing w:after="100" w:line="278" w:lineRule="auto"/>
      <w:ind w:left="1920"/>
    </w:pPr>
    <w:rPr>
      <w:rFonts w:eastAsiaTheme="minorEastAsia"/>
      <w:kern w:val="2"/>
      <w:sz w:val="24"/>
      <w:szCs w:val="24"/>
      <w:lang w:val="en-IN" w:eastAsia="en-IN"/>
      <w14:ligatures w14:val="standardContextual"/>
    </w:rPr>
  </w:style>
  <w:style w:type="paragraph" w:styleId="Caption">
    <w:name w:val="caption"/>
    <w:basedOn w:val="Normal"/>
    <w:next w:val="Normal"/>
    <w:uiPriority w:val="35"/>
    <w:unhideWhenUsed/>
    <w:qFormat/>
    <w:rsid w:val="001D3DE5"/>
    <w:pPr>
      <w:keepNext/>
      <w:keepLines/>
      <w:spacing w:after="120" w:line="240" w:lineRule="auto"/>
      <w:jc w:val="center"/>
    </w:pPr>
    <w:rPr>
      <w:b/>
      <w:bCs/>
      <w:i/>
      <w:iCs/>
      <w:color w:val="2A4084" w:themeColor="text2"/>
      <w:sz w:val="18"/>
      <w:szCs w:val="18"/>
    </w:rPr>
  </w:style>
  <w:style w:type="paragraph" w:customStyle="1" w:styleId="PTabletitle">
    <w:name w:val="P_Table title"/>
    <w:basedOn w:val="PFiguretitle"/>
    <w:qFormat/>
    <w:rsid w:val="00014A29"/>
    <w:pPr>
      <w:jc w:val="center"/>
    </w:pPr>
  </w:style>
  <w:style w:type="paragraph" w:styleId="Revision">
    <w:name w:val="Revision"/>
    <w:hidden/>
    <w:uiPriority w:val="99"/>
    <w:semiHidden/>
    <w:rsid w:val="000E01E1"/>
    <w:pPr>
      <w:spacing w:after="0" w:line="240" w:lineRule="auto"/>
    </w:pPr>
  </w:style>
  <w:style w:type="paragraph" w:customStyle="1" w:styleId="CaptionFigure">
    <w:name w:val="Caption Figure"/>
    <w:basedOn w:val="Caption"/>
    <w:qFormat/>
    <w:rsid w:val="00542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Use this color pallete">
      <a:dk1>
        <a:sysClr val="windowText" lastClr="000000"/>
      </a:dk1>
      <a:lt1>
        <a:sysClr val="window" lastClr="FFFFFF"/>
      </a:lt1>
      <a:dk2>
        <a:srgbClr val="2A4084"/>
      </a:dk2>
      <a:lt2>
        <a:srgbClr val="FFFFFF"/>
      </a:lt2>
      <a:accent1>
        <a:srgbClr val="7030A0"/>
      </a:accent1>
      <a:accent2>
        <a:srgbClr val="565656"/>
      </a:accent2>
      <a:accent3>
        <a:srgbClr val="038DDA"/>
      </a:accent3>
      <a:accent4>
        <a:srgbClr val="00B0F0"/>
      </a:accent4>
      <a:accent5>
        <a:srgbClr val="595959"/>
      </a:accent5>
      <a:accent6>
        <a:srgbClr val="7F7F7F"/>
      </a:accent6>
      <a:hlink>
        <a:srgbClr val="7030A0"/>
      </a:hlink>
      <a:folHlink>
        <a:srgbClr val="002060"/>
      </a:folHlink>
    </a:clrScheme>
    <a:fontScheme name="PYXIS font">
      <a:majorFont>
        <a:latin typeface="Century Gothic"/>
        <a:ea typeface=""/>
        <a:cs typeface=""/>
      </a:majorFont>
      <a:minorFont>
        <a:latin typeface="Century Gothic"/>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D97133AC1C7646B1DACF4F8D3F5ACC" ma:contentTypeVersion="3" ma:contentTypeDescription="Create a new document." ma:contentTypeScope="" ma:versionID="2c2b72cf69b3adffeee482e63952660c">
  <xsd:schema xmlns:xsd="http://www.w3.org/2001/XMLSchema" xmlns:xs="http://www.w3.org/2001/XMLSchema" xmlns:p="http://schemas.microsoft.com/office/2006/metadata/properties" xmlns:ns2="500343c0-af67-4d55-b6f3-a7838e163d14" xmlns:ns3="774acfeb-a1fc-47e0-a66a-f1d8d5f9081b" targetNamespace="http://schemas.microsoft.com/office/2006/metadata/properties" ma:root="true" ma:fieldsID="9341df1b6c940efbafb4def9b8368f95" ns2:_="" ns3:_="">
    <xsd:import namespace="500343c0-af67-4d55-b6f3-a7838e163d14"/>
    <xsd:import namespace="774acfeb-a1fc-47e0-a66a-f1d8d5f9081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4acfeb-a1fc-47e0-a66a-f1d8d5f908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bce90d6-5a2c-47e0-8337-aac7acda0e97" ContentTypeId="0x0101" PreviousValue="false" LastSyncTimeStamp="2017-02-08T00:21:31.92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500343c0-af67-4d55-b6f3-a7838e163d14">W3A6JUTVPN6F-97072228-171</_dlc_DocId>
    <_dlc_DocIdUrl xmlns="500343c0-af67-4d55-b6f3-a7838e163d14">
      <Url>https://osicagov.sharepoint.com/sites/CalSAWS_Procurement/_layouts/15/DocIdRedir.aspx?ID=W3A6JUTVPN6F-97072228-171</Url>
      <Description>W3A6JUTVPN6F-97072228-171</Description>
    </_dlc_DocIdUrl>
  </documentManagement>
</p:properties>
</file>

<file path=customXml/itemProps1.xml><?xml version="1.0" encoding="utf-8"?>
<ds:datastoreItem xmlns:ds="http://schemas.openxmlformats.org/officeDocument/2006/customXml" ds:itemID="{3E259CE5-4382-4BF8-B2ED-4D94E59C849F}">
  <ds:schemaRefs>
    <ds:schemaRef ds:uri="http://schemas.openxmlformats.org/officeDocument/2006/bibliography"/>
  </ds:schemaRefs>
</ds:datastoreItem>
</file>

<file path=customXml/itemProps2.xml><?xml version="1.0" encoding="utf-8"?>
<ds:datastoreItem xmlns:ds="http://schemas.openxmlformats.org/officeDocument/2006/customXml" ds:itemID="{83B8A5B9-E16D-4199-BC2D-5416BFB5957C}"/>
</file>

<file path=customXml/itemProps3.xml><?xml version="1.0" encoding="utf-8"?>
<ds:datastoreItem xmlns:ds="http://schemas.openxmlformats.org/officeDocument/2006/customXml" ds:itemID="{8FD9ADFE-536A-428C-B497-FA2814DBB875}"/>
</file>

<file path=customXml/itemProps4.xml><?xml version="1.0" encoding="utf-8"?>
<ds:datastoreItem xmlns:ds="http://schemas.openxmlformats.org/officeDocument/2006/customXml" ds:itemID="{5ABF60F2-554F-4502-8827-E343F7C6DD9B}"/>
</file>

<file path=customXml/itemProps5.xml><?xml version="1.0" encoding="utf-8"?>
<ds:datastoreItem xmlns:ds="http://schemas.openxmlformats.org/officeDocument/2006/customXml" ds:itemID="{502D3CE1-1312-4019-A193-CF68AA4F54BA}"/>
</file>

<file path=customXml/itemProps6.xml><?xml version="1.0" encoding="utf-8"?>
<ds:datastoreItem xmlns:ds="http://schemas.openxmlformats.org/officeDocument/2006/customXml" ds:itemID="{3B947924-8D2B-493B-8065-947FD8B7953F}"/>
</file>

<file path=docProps/app.xml><?xml version="1.0" encoding="utf-8"?>
<Properties xmlns="http://schemas.openxmlformats.org/officeDocument/2006/extended-properties" xmlns:vt="http://schemas.openxmlformats.org/officeDocument/2006/docPropsVTypes">
  <Template>Normal</Template>
  <TotalTime>456</TotalTime>
  <Pages>24</Pages>
  <Words>6113</Words>
  <Characters>41142</Characters>
  <Application>Microsoft Office Word</Application>
  <DocSecurity>0</DocSecurity>
  <Lines>1003</Lines>
  <Paragraphs>638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46617</CharactersWithSpaces>
  <SharedDoc>false</SharedDoc>
  <HLinks>
    <vt:vector size="486" baseType="variant">
      <vt:variant>
        <vt:i4>1114170</vt:i4>
      </vt:variant>
      <vt:variant>
        <vt:i4>482</vt:i4>
      </vt:variant>
      <vt:variant>
        <vt:i4>0</vt:i4>
      </vt:variant>
      <vt:variant>
        <vt:i4>5</vt:i4>
      </vt:variant>
      <vt:variant>
        <vt:lpwstr/>
      </vt:variant>
      <vt:variant>
        <vt:lpwstr>_Toc212024836</vt:lpwstr>
      </vt:variant>
      <vt:variant>
        <vt:i4>1114170</vt:i4>
      </vt:variant>
      <vt:variant>
        <vt:i4>476</vt:i4>
      </vt:variant>
      <vt:variant>
        <vt:i4>0</vt:i4>
      </vt:variant>
      <vt:variant>
        <vt:i4>5</vt:i4>
      </vt:variant>
      <vt:variant>
        <vt:lpwstr/>
      </vt:variant>
      <vt:variant>
        <vt:lpwstr>_Toc212024835</vt:lpwstr>
      </vt:variant>
      <vt:variant>
        <vt:i4>1114170</vt:i4>
      </vt:variant>
      <vt:variant>
        <vt:i4>470</vt:i4>
      </vt:variant>
      <vt:variant>
        <vt:i4>0</vt:i4>
      </vt:variant>
      <vt:variant>
        <vt:i4>5</vt:i4>
      </vt:variant>
      <vt:variant>
        <vt:lpwstr/>
      </vt:variant>
      <vt:variant>
        <vt:lpwstr>_Toc212024834</vt:lpwstr>
      </vt:variant>
      <vt:variant>
        <vt:i4>1114170</vt:i4>
      </vt:variant>
      <vt:variant>
        <vt:i4>464</vt:i4>
      </vt:variant>
      <vt:variant>
        <vt:i4>0</vt:i4>
      </vt:variant>
      <vt:variant>
        <vt:i4>5</vt:i4>
      </vt:variant>
      <vt:variant>
        <vt:lpwstr/>
      </vt:variant>
      <vt:variant>
        <vt:lpwstr>_Toc212024833</vt:lpwstr>
      </vt:variant>
      <vt:variant>
        <vt:i4>1114170</vt:i4>
      </vt:variant>
      <vt:variant>
        <vt:i4>458</vt:i4>
      </vt:variant>
      <vt:variant>
        <vt:i4>0</vt:i4>
      </vt:variant>
      <vt:variant>
        <vt:i4>5</vt:i4>
      </vt:variant>
      <vt:variant>
        <vt:lpwstr/>
      </vt:variant>
      <vt:variant>
        <vt:lpwstr>_Toc212024832</vt:lpwstr>
      </vt:variant>
      <vt:variant>
        <vt:i4>1114170</vt:i4>
      </vt:variant>
      <vt:variant>
        <vt:i4>452</vt:i4>
      </vt:variant>
      <vt:variant>
        <vt:i4>0</vt:i4>
      </vt:variant>
      <vt:variant>
        <vt:i4>5</vt:i4>
      </vt:variant>
      <vt:variant>
        <vt:lpwstr/>
      </vt:variant>
      <vt:variant>
        <vt:lpwstr>_Toc212024831</vt:lpwstr>
      </vt:variant>
      <vt:variant>
        <vt:i4>1114170</vt:i4>
      </vt:variant>
      <vt:variant>
        <vt:i4>446</vt:i4>
      </vt:variant>
      <vt:variant>
        <vt:i4>0</vt:i4>
      </vt:variant>
      <vt:variant>
        <vt:i4>5</vt:i4>
      </vt:variant>
      <vt:variant>
        <vt:lpwstr/>
      </vt:variant>
      <vt:variant>
        <vt:lpwstr>_Toc212024830</vt:lpwstr>
      </vt:variant>
      <vt:variant>
        <vt:i4>1048634</vt:i4>
      </vt:variant>
      <vt:variant>
        <vt:i4>440</vt:i4>
      </vt:variant>
      <vt:variant>
        <vt:i4>0</vt:i4>
      </vt:variant>
      <vt:variant>
        <vt:i4>5</vt:i4>
      </vt:variant>
      <vt:variant>
        <vt:lpwstr/>
      </vt:variant>
      <vt:variant>
        <vt:lpwstr>_Toc212024829</vt:lpwstr>
      </vt:variant>
      <vt:variant>
        <vt:i4>1048634</vt:i4>
      </vt:variant>
      <vt:variant>
        <vt:i4>434</vt:i4>
      </vt:variant>
      <vt:variant>
        <vt:i4>0</vt:i4>
      </vt:variant>
      <vt:variant>
        <vt:i4>5</vt:i4>
      </vt:variant>
      <vt:variant>
        <vt:lpwstr/>
      </vt:variant>
      <vt:variant>
        <vt:lpwstr>_Toc212024828</vt:lpwstr>
      </vt:variant>
      <vt:variant>
        <vt:i4>1048634</vt:i4>
      </vt:variant>
      <vt:variant>
        <vt:i4>428</vt:i4>
      </vt:variant>
      <vt:variant>
        <vt:i4>0</vt:i4>
      </vt:variant>
      <vt:variant>
        <vt:i4>5</vt:i4>
      </vt:variant>
      <vt:variant>
        <vt:lpwstr/>
      </vt:variant>
      <vt:variant>
        <vt:lpwstr>_Toc212024827</vt:lpwstr>
      </vt:variant>
      <vt:variant>
        <vt:i4>1048634</vt:i4>
      </vt:variant>
      <vt:variant>
        <vt:i4>422</vt:i4>
      </vt:variant>
      <vt:variant>
        <vt:i4>0</vt:i4>
      </vt:variant>
      <vt:variant>
        <vt:i4>5</vt:i4>
      </vt:variant>
      <vt:variant>
        <vt:lpwstr/>
      </vt:variant>
      <vt:variant>
        <vt:lpwstr>_Toc212024826</vt:lpwstr>
      </vt:variant>
      <vt:variant>
        <vt:i4>1048634</vt:i4>
      </vt:variant>
      <vt:variant>
        <vt:i4>416</vt:i4>
      </vt:variant>
      <vt:variant>
        <vt:i4>0</vt:i4>
      </vt:variant>
      <vt:variant>
        <vt:i4>5</vt:i4>
      </vt:variant>
      <vt:variant>
        <vt:lpwstr/>
      </vt:variant>
      <vt:variant>
        <vt:lpwstr>_Toc212024825</vt:lpwstr>
      </vt:variant>
      <vt:variant>
        <vt:i4>1048634</vt:i4>
      </vt:variant>
      <vt:variant>
        <vt:i4>410</vt:i4>
      </vt:variant>
      <vt:variant>
        <vt:i4>0</vt:i4>
      </vt:variant>
      <vt:variant>
        <vt:i4>5</vt:i4>
      </vt:variant>
      <vt:variant>
        <vt:lpwstr/>
      </vt:variant>
      <vt:variant>
        <vt:lpwstr>_Toc212024824</vt:lpwstr>
      </vt:variant>
      <vt:variant>
        <vt:i4>1048634</vt:i4>
      </vt:variant>
      <vt:variant>
        <vt:i4>404</vt:i4>
      </vt:variant>
      <vt:variant>
        <vt:i4>0</vt:i4>
      </vt:variant>
      <vt:variant>
        <vt:i4>5</vt:i4>
      </vt:variant>
      <vt:variant>
        <vt:lpwstr/>
      </vt:variant>
      <vt:variant>
        <vt:lpwstr>_Toc212024823</vt:lpwstr>
      </vt:variant>
      <vt:variant>
        <vt:i4>1048634</vt:i4>
      </vt:variant>
      <vt:variant>
        <vt:i4>398</vt:i4>
      </vt:variant>
      <vt:variant>
        <vt:i4>0</vt:i4>
      </vt:variant>
      <vt:variant>
        <vt:i4>5</vt:i4>
      </vt:variant>
      <vt:variant>
        <vt:lpwstr/>
      </vt:variant>
      <vt:variant>
        <vt:lpwstr>_Toc212024822</vt:lpwstr>
      </vt:variant>
      <vt:variant>
        <vt:i4>1048634</vt:i4>
      </vt:variant>
      <vt:variant>
        <vt:i4>392</vt:i4>
      </vt:variant>
      <vt:variant>
        <vt:i4>0</vt:i4>
      </vt:variant>
      <vt:variant>
        <vt:i4>5</vt:i4>
      </vt:variant>
      <vt:variant>
        <vt:lpwstr/>
      </vt:variant>
      <vt:variant>
        <vt:lpwstr>_Toc212024821</vt:lpwstr>
      </vt:variant>
      <vt:variant>
        <vt:i4>1048634</vt:i4>
      </vt:variant>
      <vt:variant>
        <vt:i4>386</vt:i4>
      </vt:variant>
      <vt:variant>
        <vt:i4>0</vt:i4>
      </vt:variant>
      <vt:variant>
        <vt:i4>5</vt:i4>
      </vt:variant>
      <vt:variant>
        <vt:lpwstr/>
      </vt:variant>
      <vt:variant>
        <vt:lpwstr>_Toc212024820</vt:lpwstr>
      </vt:variant>
      <vt:variant>
        <vt:i4>1245242</vt:i4>
      </vt:variant>
      <vt:variant>
        <vt:i4>380</vt:i4>
      </vt:variant>
      <vt:variant>
        <vt:i4>0</vt:i4>
      </vt:variant>
      <vt:variant>
        <vt:i4>5</vt:i4>
      </vt:variant>
      <vt:variant>
        <vt:lpwstr/>
      </vt:variant>
      <vt:variant>
        <vt:lpwstr>_Toc212024819</vt:lpwstr>
      </vt:variant>
      <vt:variant>
        <vt:i4>1245242</vt:i4>
      </vt:variant>
      <vt:variant>
        <vt:i4>374</vt:i4>
      </vt:variant>
      <vt:variant>
        <vt:i4>0</vt:i4>
      </vt:variant>
      <vt:variant>
        <vt:i4>5</vt:i4>
      </vt:variant>
      <vt:variant>
        <vt:lpwstr/>
      </vt:variant>
      <vt:variant>
        <vt:lpwstr>_Toc212024818</vt:lpwstr>
      </vt:variant>
      <vt:variant>
        <vt:i4>1245242</vt:i4>
      </vt:variant>
      <vt:variant>
        <vt:i4>368</vt:i4>
      </vt:variant>
      <vt:variant>
        <vt:i4>0</vt:i4>
      </vt:variant>
      <vt:variant>
        <vt:i4>5</vt:i4>
      </vt:variant>
      <vt:variant>
        <vt:lpwstr/>
      </vt:variant>
      <vt:variant>
        <vt:lpwstr>_Toc212024817</vt:lpwstr>
      </vt:variant>
      <vt:variant>
        <vt:i4>1245242</vt:i4>
      </vt:variant>
      <vt:variant>
        <vt:i4>362</vt:i4>
      </vt:variant>
      <vt:variant>
        <vt:i4>0</vt:i4>
      </vt:variant>
      <vt:variant>
        <vt:i4>5</vt:i4>
      </vt:variant>
      <vt:variant>
        <vt:lpwstr/>
      </vt:variant>
      <vt:variant>
        <vt:lpwstr>_Toc212024816</vt:lpwstr>
      </vt:variant>
      <vt:variant>
        <vt:i4>1245242</vt:i4>
      </vt:variant>
      <vt:variant>
        <vt:i4>356</vt:i4>
      </vt:variant>
      <vt:variant>
        <vt:i4>0</vt:i4>
      </vt:variant>
      <vt:variant>
        <vt:i4>5</vt:i4>
      </vt:variant>
      <vt:variant>
        <vt:lpwstr/>
      </vt:variant>
      <vt:variant>
        <vt:lpwstr>_Toc212024815</vt:lpwstr>
      </vt:variant>
      <vt:variant>
        <vt:i4>1245242</vt:i4>
      </vt:variant>
      <vt:variant>
        <vt:i4>350</vt:i4>
      </vt:variant>
      <vt:variant>
        <vt:i4>0</vt:i4>
      </vt:variant>
      <vt:variant>
        <vt:i4>5</vt:i4>
      </vt:variant>
      <vt:variant>
        <vt:lpwstr/>
      </vt:variant>
      <vt:variant>
        <vt:lpwstr>_Toc212024814</vt:lpwstr>
      </vt:variant>
      <vt:variant>
        <vt:i4>1245242</vt:i4>
      </vt:variant>
      <vt:variant>
        <vt:i4>344</vt:i4>
      </vt:variant>
      <vt:variant>
        <vt:i4>0</vt:i4>
      </vt:variant>
      <vt:variant>
        <vt:i4>5</vt:i4>
      </vt:variant>
      <vt:variant>
        <vt:lpwstr/>
      </vt:variant>
      <vt:variant>
        <vt:lpwstr>_Toc212024813</vt:lpwstr>
      </vt:variant>
      <vt:variant>
        <vt:i4>1245242</vt:i4>
      </vt:variant>
      <vt:variant>
        <vt:i4>338</vt:i4>
      </vt:variant>
      <vt:variant>
        <vt:i4>0</vt:i4>
      </vt:variant>
      <vt:variant>
        <vt:i4>5</vt:i4>
      </vt:variant>
      <vt:variant>
        <vt:lpwstr/>
      </vt:variant>
      <vt:variant>
        <vt:lpwstr>_Toc212024812</vt:lpwstr>
      </vt:variant>
      <vt:variant>
        <vt:i4>1245242</vt:i4>
      </vt:variant>
      <vt:variant>
        <vt:i4>332</vt:i4>
      </vt:variant>
      <vt:variant>
        <vt:i4>0</vt:i4>
      </vt:variant>
      <vt:variant>
        <vt:i4>5</vt:i4>
      </vt:variant>
      <vt:variant>
        <vt:lpwstr/>
      </vt:variant>
      <vt:variant>
        <vt:lpwstr>_Toc212024811</vt:lpwstr>
      </vt:variant>
      <vt:variant>
        <vt:i4>1245242</vt:i4>
      </vt:variant>
      <vt:variant>
        <vt:i4>326</vt:i4>
      </vt:variant>
      <vt:variant>
        <vt:i4>0</vt:i4>
      </vt:variant>
      <vt:variant>
        <vt:i4>5</vt:i4>
      </vt:variant>
      <vt:variant>
        <vt:lpwstr/>
      </vt:variant>
      <vt:variant>
        <vt:lpwstr>_Toc212024810</vt:lpwstr>
      </vt:variant>
      <vt:variant>
        <vt:i4>1179706</vt:i4>
      </vt:variant>
      <vt:variant>
        <vt:i4>320</vt:i4>
      </vt:variant>
      <vt:variant>
        <vt:i4>0</vt:i4>
      </vt:variant>
      <vt:variant>
        <vt:i4>5</vt:i4>
      </vt:variant>
      <vt:variant>
        <vt:lpwstr/>
      </vt:variant>
      <vt:variant>
        <vt:lpwstr>_Toc212024809</vt:lpwstr>
      </vt:variant>
      <vt:variant>
        <vt:i4>1179706</vt:i4>
      </vt:variant>
      <vt:variant>
        <vt:i4>314</vt:i4>
      </vt:variant>
      <vt:variant>
        <vt:i4>0</vt:i4>
      </vt:variant>
      <vt:variant>
        <vt:i4>5</vt:i4>
      </vt:variant>
      <vt:variant>
        <vt:lpwstr/>
      </vt:variant>
      <vt:variant>
        <vt:lpwstr>_Toc212024808</vt:lpwstr>
      </vt:variant>
      <vt:variant>
        <vt:i4>1179706</vt:i4>
      </vt:variant>
      <vt:variant>
        <vt:i4>308</vt:i4>
      </vt:variant>
      <vt:variant>
        <vt:i4>0</vt:i4>
      </vt:variant>
      <vt:variant>
        <vt:i4>5</vt:i4>
      </vt:variant>
      <vt:variant>
        <vt:lpwstr/>
      </vt:variant>
      <vt:variant>
        <vt:lpwstr>_Toc212024807</vt:lpwstr>
      </vt:variant>
      <vt:variant>
        <vt:i4>1179706</vt:i4>
      </vt:variant>
      <vt:variant>
        <vt:i4>302</vt:i4>
      </vt:variant>
      <vt:variant>
        <vt:i4>0</vt:i4>
      </vt:variant>
      <vt:variant>
        <vt:i4>5</vt:i4>
      </vt:variant>
      <vt:variant>
        <vt:lpwstr/>
      </vt:variant>
      <vt:variant>
        <vt:lpwstr>_Toc212024806</vt:lpwstr>
      </vt:variant>
      <vt:variant>
        <vt:i4>1179706</vt:i4>
      </vt:variant>
      <vt:variant>
        <vt:i4>296</vt:i4>
      </vt:variant>
      <vt:variant>
        <vt:i4>0</vt:i4>
      </vt:variant>
      <vt:variant>
        <vt:i4>5</vt:i4>
      </vt:variant>
      <vt:variant>
        <vt:lpwstr/>
      </vt:variant>
      <vt:variant>
        <vt:lpwstr>_Toc212024805</vt:lpwstr>
      </vt:variant>
      <vt:variant>
        <vt:i4>1179706</vt:i4>
      </vt:variant>
      <vt:variant>
        <vt:i4>290</vt:i4>
      </vt:variant>
      <vt:variant>
        <vt:i4>0</vt:i4>
      </vt:variant>
      <vt:variant>
        <vt:i4>5</vt:i4>
      </vt:variant>
      <vt:variant>
        <vt:lpwstr/>
      </vt:variant>
      <vt:variant>
        <vt:lpwstr>_Toc212024804</vt:lpwstr>
      </vt:variant>
      <vt:variant>
        <vt:i4>1179706</vt:i4>
      </vt:variant>
      <vt:variant>
        <vt:i4>284</vt:i4>
      </vt:variant>
      <vt:variant>
        <vt:i4>0</vt:i4>
      </vt:variant>
      <vt:variant>
        <vt:i4>5</vt:i4>
      </vt:variant>
      <vt:variant>
        <vt:lpwstr/>
      </vt:variant>
      <vt:variant>
        <vt:lpwstr>_Toc212024803</vt:lpwstr>
      </vt:variant>
      <vt:variant>
        <vt:i4>1179706</vt:i4>
      </vt:variant>
      <vt:variant>
        <vt:i4>278</vt:i4>
      </vt:variant>
      <vt:variant>
        <vt:i4>0</vt:i4>
      </vt:variant>
      <vt:variant>
        <vt:i4>5</vt:i4>
      </vt:variant>
      <vt:variant>
        <vt:lpwstr/>
      </vt:variant>
      <vt:variant>
        <vt:lpwstr>_Toc212024802</vt:lpwstr>
      </vt:variant>
      <vt:variant>
        <vt:i4>1179706</vt:i4>
      </vt:variant>
      <vt:variant>
        <vt:i4>272</vt:i4>
      </vt:variant>
      <vt:variant>
        <vt:i4>0</vt:i4>
      </vt:variant>
      <vt:variant>
        <vt:i4>5</vt:i4>
      </vt:variant>
      <vt:variant>
        <vt:lpwstr/>
      </vt:variant>
      <vt:variant>
        <vt:lpwstr>_Toc212024801</vt:lpwstr>
      </vt:variant>
      <vt:variant>
        <vt:i4>1179706</vt:i4>
      </vt:variant>
      <vt:variant>
        <vt:i4>266</vt:i4>
      </vt:variant>
      <vt:variant>
        <vt:i4>0</vt:i4>
      </vt:variant>
      <vt:variant>
        <vt:i4>5</vt:i4>
      </vt:variant>
      <vt:variant>
        <vt:lpwstr/>
      </vt:variant>
      <vt:variant>
        <vt:lpwstr>_Toc212024800</vt:lpwstr>
      </vt:variant>
      <vt:variant>
        <vt:i4>1769525</vt:i4>
      </vt:variant>
      <vt:variant>
        <vt:i4>260</vt:i4>
      </vt:variant>
      <vt:variant>
        <vt:i4>0</vt:i4>
      </vt:variant>
      <vt:variant>
        <vt:i4>5</vt:i4>
      </vt:variant>
      <vt:variant>
        <vt:lpwstr/>
      </vt:variant>
      <vt:variant>
        <vt:lpwstr>_Toc212024799</vt:lpwstr>
      </vt:variant>
      <vt:variant>
        <vt:i4>1769525</vt:i4>
      </vt:variant>
      <vt:variant>
        <vt:i4>254</vt:i4>
      </vt:variant>
      <vt:variant>
        <vt:i4>0</vt:i4>
      </vt:variant>
      <vt:variant>
        <vt:i4>5</vt:i4>
      </vt:variant>
      <vt:variant>
        <vt:lpwstr/>
      </vt:variant>
      <vt:variant>
        <vt:lpwstr>_Toc212024798</vt:lpwstr>
      </vt:variant>
      <vt:variant>
        <vt:i4>1769525</vt:i4>
      </vt:variant>
      <vt:variant>
        <vt:i4>248</vt:i4>
      </vt:variant>
      <vt:variant>
        <vt:i4>0</vt:i4>
      </vt:variant>
      <vt:variant>
        <vt:i4>5</vt:i4>
      </vt:variant>
      <vt:variant>
        <vt:lpwstr/>
      </vt:variant>
      <vt:variant>
        <vt:lpwstr>_Toc212024797</vt:lpwstr>
      </vt:variant>
      <vt:variant>
        <vt:i4>1769525</vt:i4>
      </vt:variant>
      <vt:variant>
        <vt:i4>242</vt:i4>
      </vt:variant>
      <vt:variant>
        <vt:i4>0</vt:i4>
      </vt:variant>
      <vt:variant>
        <vt:i4>5</vt:i4>
      </vt:variant>
      <vt:variant>
        <vt:lpwstr/>
      </vt:variant>
      <vt:variant>
        <vt:lpwstr>_Toc212024796</vt:lpwstr>
      </vt:variant>
      <vt:variant>
        <vt:i4>1769525</vt:i4>
      </vt:variant>
      <vt:variant>
        <vt:i4>236</vt:i4>
      </vt:variant>
      <vt:variant>
        <vt:i4>0</vt:i4>
      </vt:variant>
      <vt:variant>
        <vt:i4>5</vt:i4>
      </vt:variant>
      <vt:variant>
        <vt:lpwstr/>
      </vt:variant>
      <vt:variant>
        <vt:lpwstr>_Toc212024795</vt:lpwstr>
      </vt:variant>
      <vt:variant>
        <vt:i4>1769525</vt:i4>
      </vt:variant>
      <vt:variant>
        <vt:i4>230</vt:i4>
      </vt:variant>
      <vt:variant>
        <vt:i4>0</vt:i4>
      </vt:variant>
      <vt:variant>
        <vt:i4>5</vt:i4>
      </vt:variant>
      <vt:variant>
        <vt:lpwstr/>
      </vt:variant>
      <vt:variant>
        <vt:lpwstr>_Toc212024794</vt:lpwstr>
      </vt:variant>
      <vt:variant>
        <vt:i4>1769525</vt:i4>
      </vt:variant>
      <vt:variant>
        <vt:i4>224</vt:i4>
      </vt:variant>
      <vt:variant>
        <vt:i4>0</vt:i4>
      </vt:variant>
      <vt:variant>
        <vt:i4>5</vt:i4>
      </vt:variant>
      <vt:variant>
        <vt:lpwstr/>
      </vt:variant>
      <vt:variant>
        <vt:lpwstr>_Toc212024793</vt:lpwstr>
      </vt:variant>
      <vt:variant>
        <vt:i4>1769525</vt:i4>
      </vt:variant>
      <vt:variant>
        <vt:i4>218</vt:i4>
      </vt:variant>
      <vt:variant>
        <vt:i4>0</vt:i4>
      </vt:variant>
      <vt:variant>
        <vt:i4>5</vt:i4>
      </vt:variant>
      <vt:variant>
        <vt:lpwstr/>
      </vt:variant>
      <vt:variant>
        <vt:lpwstr>_Toc212024792</vt:lpwstr>
      </vt:variant>
      <vt:variant>
        <vt:i4>1769525</vt:i4>
      </vt:variant>
      <vt:variant>
        <vt:i4>212</vt:i4>
      </vt:variant>
      <vt:variant>
        <vt:i4>0</vt:i4>
      </vt:variant>
      <vt:variant>
        <vt:i4>5</vt:i4>
      </vt:variant>
      <vt:variant>
        <vt:lpwstr/>
      </vt:variant>
      <vt:variant>
        <vt:lpwstr>_Toc212024791</vt:lpwstr>
      </vt:variant>
      <vt:variant>
        <vt:i4>1769525</vt:i4>
      </vt:variant>
      <vt:variant>
        <vt:i4>206</vt:i4>
      </vt:variant>
      <vt:variant>
        <vt:i4>0</vt:i4>
      </vt:variant>
      <vt:variant>
        <vt:i4>5</vt:i4>
      </vt:variant>
      <vt:variant>
        <vt:lpwstr/>
      </vt:variant>
      <vt:variant>
        <vt:lpwstr>_Toc212024790</vt:lpwstr>
      </vt:variant>
      <vt:variant>
        <vt:i4>1703989</vt:i4>
      </vt:variant>
      <vt:variant>
        <vt:i4>200</vt:i4>
      </vt:variant>
      <vt:variant>
        <vt:i4>0</vt:i4>
      </vt:variant>
      <vt:variant>
        <vt:i4>5</vt:i4>
      </vt:variant>
      <vt:variant>
        <vt:lpwstr/>
      </vt:variant>
      <vt:variant>
        <vt:lpwstr>_Toc212024789</vt:lpwstr>
      </vt:variant>
      <vt:variant>
        <vt:i4>1703989</vt:i4>
      </vt:variant>
      <vt:variant>
        <vt:i4>194</vt:i4>
      </vt:variant>
      <vt:variant>
        <vt:i4>0</vt:i4>
      </vt:variant>
      <vt:variant>
        <vt:i4>5</vt:i4>
      </vt:variant>
      <vt:variant>
        <vt:lpwstr/>
      </vt:variant>
      <vt:variant>
        <vt:lpwstr>_Toc212024788</vt:lpwstr>
      </vt:variant>
      <vt:variant>
        <vt:i4>1703989</vt:i4>
      </vt:variant>
      <vt:variant>
        <vt:i4>188</vt:i4>
      </vt:variant>
      <vt:variant>
        <vt:i4>0</vt:i4>
      </vt:variant>
      <vt:variant>
        <vt:i4>5</vt:i4>
      </vt:variant>
      <vt:variant>
        <vt:lpwstr/>
      </vt:variant>
      <vt:variant>
        <vt:lpwstr>_Toc212024787</vt:lpwstr>
      </vt:variant>
      <vt:variant>
        <vt:i4>1703989</vt:i4>
      </vt:variant>
      <vt:variant>
        <vt:i4>182</vt:i4>
      </vt:variant>
      <vt:variant>
        <vt:i4>0</vt:i4>
      </vt:variant>
      <vt:variant>
        <vt:i4>5</vt:i4>
      </vt:variant>
      <vt:variant>
        <vt:lpwstr/>
      </vt:variant>
      <vt:variant>
        <vt:lpwstr>_Toc212024786</vt:lpwstr>
      </vt:variant>
      <vt:variant>
        <vt:i4>1703989</vt:i4>
      </vt:variant>
      <vt:variant>
        <vt:i4>176</vt:i4>
      </vt:variant>
      <vt:variant>
        <vt:i4>0</vt:i4>
      </vt:variant>
      <vt:variant>
        <vt:i4>5</vt:i4>
      </vt:variant>
      <vt:variant>
        <vt:lpwstr/>
      </vt:variant>
      <vt:variant>
        <vt:lpwstr>_Toc212024785</vt:lpwstr>
      </vt:variant>
      <vt:variant>
        <vt:i4>1703989</vt:i4>
      </vt:variant>
      <vt:variant>
        <vt:i4>170</vt:i4>
      </vt:variant>
      <vt:variant>
        <vt:i4>0</vt:i4>
      </vt:variant>
      <vt:variant>
        <vt:i4>5</vt:i4>
      </vt:variant>
      <vt:variant>
        <vt:lpwstr/>
      </vt:variant>
      <vt:variant>
        <vt:lpwstr>_Toc212024784</vt:lpwstr>
      </vt:variant>
      <vt:variant>
        <vt:i4>1703989</vt:i4>
      </vt:variant>
      <vt:variant>
        <vt:i4>164</vt:i4>
      </vt:variant>
      <vt:variant>
        <vt:i4>0</vt:i4>
      </vt:variant>
      <vt:variant>
        <vt:i4>5</vt:i4>
      </vt:variant>
      <vt:variant>
        <vt:lpwstr/>
      </vt:variant>
      <vt:variant>
        <vt:lpwstr>_Toc212024783</vt:lpwstr>
      </vt:variant>
      <vt:variant>
        <vt:i4>1703989</vt:i4>
      </vt:variant>
      <vt:variant>
        <vt:i4>158</vt:i4>
      </vt:variant>
      <vt:variant>
        <vt:i4>0</vt:i4>
      </vt:variant>
      <vt:variant>
        <vt:i4>5</vt:i4>
      </vt:variant>
      <vt:variant>
        <vt:lpwstr/>
      </vt:variant>
      <vt:variant>
        <vt:lpwstr>_Toc212024782</vt:lpwstr>
      </vt:variant>
      <vt:variant>
        <vt:i4>1703989</vt:i4>
      </vt:variant>
      <vt:variant>
        <vt:i4>152</vt:i4>
      </vt:variant>
      <vt:variant>
        <vt:i4>0</vt:i4>
      </vt:variant>
      <vt:variant>
        <vt:i4>5</vt:i4>
      </vt:variant>
      <vt:variant>
        <vt:lpwstr/>
      </vt:variant>
      <vt:variant>
        <vt:lpwstr>_Toc212024781</vt:lpwstr>
      </vt:variant>
      <vt:variant>
        <vt:i4>1703989</vt:i4>
      </vt:variant>
      <vt:variant>
        <vt:i4>146</vt:i4>
      </vt:variant>
      <vt:variant>
        <vt:i4>0</vt:i4>
      </vt:variant>
      <vt:variant>
        <vt:i4>5</vt:i4>
      </vt:variant>
      <vt:variant>
        <vt:lpwstr/>
      </vt:variant>
      <vt:variant>
        <vt:lpwstr>_Toc212024780</vt:lpwstr>
      </vt:variant>
      <vt:variant>
        <vt:i4>1376309</vt:i4>
      </vt:variant>
      <vt:variant>
        <vt:i4>140</vt:i4>
      </vt:variant>
      <vt:variant>
        <vt:i4>0</vt:i4>
      </vt:variant>
      <vt:variant>
        <vt:i4>5</vt:i4>
      </vt:variant>
      <vt:variant>
        <vt:lpwstr/>
      </vt:variant>
      <vt:variant>
        <vt:lpwstr>_Toc212024779</vt:lpwstr>
      </vt:variant>
      <vt:variant>
        <vt:i4>1376309</vt:i4>
      </vt:variant>
      <vt:variant>
        <vt:i4>134</vt:i4>
      </vt:variant>
      <vt:variant>
        <vt:i4>0</vt:i4>
      </vt:variant>
      <vt:variant>
        <vt:i4>5</vt:i4>
      </vt:variant>
      <vt:variant>
        <vt:lpwstr/>
      </vt:variant>
      <vt:variant>
        <vt:lpwstr>_Toc212024778</vt:lpwstr>
      </vt:variant>
      <vt:variant>
        <vt:i4>1376309</vt:i4>
      </vt:variant>
      <vt:variant>
        <vt:i4>128</vt:i4>
      </vt:variant>
      <vt:variant>
        <vt:i4>0</vt:i4>
      </vt:variant>
      <vt:variant>
        <vt:i4>5</vt:i4>
      </vt:variant>
      <vt:variant>
        <vt:lpwstr/>
      </vt:variant>
      <vt:variant>
        <vt:lpwstr>_Toc212024777</vt:lpwstr>
      </vt:variant>
      <vt:variant>
        <vt:i4>1376309</vt:i4>
      </vt:variant>
      <vt:variant>
        <vt:i4>122</vt:i4>
      </vt:variant>
      <vt:variant>
        <vt:i4>0</vt:i4>
      </vt:variant>
      <vt:variant>
        <vt:i4>5</vt:i4>
      </vt:variant>
      <vt:variant>
        <vt:lpwstr/>
      </vt:variant>
      <vt:variant>
        <vt:lpwstr>_Toc212024776</vt:lpwstr>
      </vt:variant>
      <vt:variant>
        <vt:i4>1376309</vt:i4>
      </vt:variant>
      <vt:variant>
        <vt:i4>116</vt:i4>
      </vt:variant>
      <vt:variant>
        <vt:i4>0</vt:i4>
      </vt:variant>
      <vt:variant>
        <vt:i4>5</vt:i4>
      </vt:variant>
      <vt:variant>
        <vt:lpwstr/>
      </vt:variant>
      <vt:variant>
        <vt:lpwstr>_Toc212024775</vt:lpwstr>
      </vt:variant>
      <vt:variant>
        <vt:i4>1376309</vt:i4>
      </vt:variant>
      <vt:variant>
        <vt:i4>110</vt:i4>
      </vt:variant>
      <vt:variant>
        <vt:i4>0</vt:i4>
      </vt:variant>
      <vt:variant>
        <vt:i4>5</vt:i4>
      </vt:variant>
      <vt:variant>
        <vt:lpwstr/>
      </vt:variant>
      <vt:variant>
        <vt:lpwstr>_Toc212024774</vt:lpwstr>
      </vt:variant>
      <vt:variant>
        <vt:i4>1376309</vt:i4>
      </vt:variant>
      <vt:variant>
        <vt:i4>104</vt:i4>
      </vt:variant>
      <vt:variant>
        <vt:i4>0</vt:i4>
      </vt:variant>
      <vt:variant>
        <vt:i4>5</vt:i4>
      </vt:variant>
      <vt:variant>
        <vt:lpwstr/>
      </vt:variant>
      <vt:variant>
        <vt:lpwstr>_Toc212024773</vt:lpwstr>
      </vt:variant>
      <vt:variant>
        <vt:i4>1376309</vt:i4>
      </vt:variant>
      <vt:variant>
        <vt:i4>98</vt:i4>
      </vt:variant>
      <vt:variant>
        <vt:i4>0</vt:i4>
      </vt:variant>
      <vt:variant>
        <vt:i4>5</vt:i4>
      </vt:variant>
      <vt:variant>
        <vt:lpwstr/>
      </vt:variant>
      <vt:variant>
        <vt:lpwstr>_Toc212024772</vt:lpwstr>
      </vt:variant>
      <vt:variant>
        <vt:i4>1376309</vt:i4>
      </vt:variant>
      <vt:variant>
        <vt:i4>92</vt:i4>
      </vt:variant>
      <vt:variant>
        <vt:i4>0</vt:i4>
      </vt:variant>
      <vt:variant>
        <vt:i4>5</vt:i4>
      </vt:variant>
      <vt:variant>
        <vt:lpwstr/>
      </vt:variant>
      <vt:variant>
        <vt:lpwstr>_Toc212024771</vt:lpwstr>
      </vt:variant>
      <vt:variant>
        <vt:i4>1376309</vt:i4>
      </vt:variant>
      <vt:variant>
        <vt:i4>86</vt:i4>
      </vt:variant>
      <vt:variant>
        <vt:i4>0</vt:i4>
      </vt:variant>
      <vt:variant>
        <vt:i4>5</vt:i4>
      </vt:variant>
      <vt:variant>
        <vt:lpwstr/>
      </vt:variant>
      <vt:variant>
        <vt:lpwstr>_Toc212024770</vt:lpwstr>
      </vt:variant>
      <vt:variant>
        <vt:i4>1310773</vt:i4>
      </vt:variant>
      <vt:variant>
        <vt:i4>80</vt:i4>
      </vt:variant>
      <vt:variant>
        <vt:i4>0</vt:i4>
      </vt:variant>
      <vt:variant>
        <vt:i4>5</vt:i4>
      </vt:variant>
      <vt:variant>
        <vt:lpwstr/>
      </vt:variant>
      <vt:variant>
        <vt:lpwstr>_Toc212024769</vt:lpwstr>
      </vt:variant>
      <vt:variant>
        <vt:i4>1310773</vt:i4>
      </vt:variant>
      <vt:variant>
        <vt:i4>74</vt:i4>
      </vt:variant>
      <vt:variant>
        <vt:i4>0</vt:i4>
      </vt:variant>
      <vt:variant>
        <vt:i4>5</vt:i4>
      </vt:variant>
      <vt:variant>
        <vt:lpwstr/>
      </vt:variant>
      <vt:variant>
        <vt:lpwstr>_Toc212024768</vt:lpwstr>
      </vt:variant>
      <vt:variant>
        <vt:i4>1310773</vt:i4>
      </vt:variant>
      <vt:variant>
        <vt:i4>68</vt:i4>
      </vt:variant>
      <vt:variant>
        <vt:i4>0</vt:i4>
      </vt:variant>
      <vt:variant>
        <vt:i4>5</vt:i4>
      </vt:variant>
      <vt:variant>
        <vt:lpwstr/>
      </vt:variant>
      <vt:variant>
        <vt:lpwstr>_Toc212024767</vt:lpwstr>
      </vt:variant>
      <vt:variant>
        <vt:i4>1310773</vt:i4>
      </vt:variant>
      <vt:variant>
        <vt:i4>62</vt:i4>
      </vt:variant>
      <vt:variant>
        <vt:i4>0</vt:i4>
      </vt:variant>
      <vt:variant>
        <vt:i4>5</vt:i4>
      </vt:variant>
      <vt:variant>
        <vt:lpwstr/>
      </vt:variant>
      <vt:variant>
        <vt:lpwstr>_Toc212024766</vt:lpwstr>
      </vt:variant>
      <vt:variant>
        <vt:i4>1310773</vt:i4>
      </vt:variant>
      <vt:variant>
        <vt:i4>56</vt:i4>
      </vt:variant>
      <vt:variant>
        <vt:i4>0</vt:i4>
      </vt:variant>
      <vt:variant>
        <vt:i4>5</vt:i4>
      </vt:variant>
      <vt:variant>
        <vt:lpwstr/>
      </vt:variant>
      <vt:variant>
        <vt:lpwstr>_Toc212024765</vt:lpwstr>
      </vt:variant>
      <vt:variant>
        <vt:i4>1310773</vt:i4>
      </vt:variant>
      <vt:variant>
        <vt:i4>50</vt:i4>
      </vt:variant>
      <vt:variant>
        <vt:i4>0</vt:i4>
      </vt:variant>
      <vt:variant>
        <vt:i4>5</vt:i4>
      </vt:variant>
      <vt:variant>
        <vt:lpwstr/>
      </vt:variant>
      <vt:variant>
        <vt:lpwstr>_Toc212024764</vt:lpwstr>
      </vt:variant>
      <vt:variant>
        <vt:i4>1310773</vt:i4>
      </vt:variant>
      <vt:variant>
        <vt:i4>44</vt:i4>
      </vt:variant>
      <vt:variant>
        <vt:i4>0</vt:i4>
      </vt:variant>
      <vt:variant>
        <vt:i4>5</vt:i4>
      </vt:variant>
      <vt:variant>
        <vt:lpwstr/>
      </vt:variant>
      <vt:variant>
        <vt:lpwstr>_Toc212024763</vt:lpwstr>
      </vt:variant>
      <vt:variant>
        <vt:i4>1310773</vt:i4>
      </vt:variant>
      <vt:variant>
        <vt:i4>38</vt:i4>
      </vt:variant>
      <vt:variant>
        <vt:i4>0</vt:i4>
      </vt:variant>
      <vt:variant>
        <vt:i4>5</vt:i4>
      </vt:variant>
      <vt:variant>
        <vt:lpwstr/>
      </vt:variant>
      <vt:variant>
        <vt:lpwstr>_Toc212024762</vt:lpwstr>
      </vt:variant>
      <vt:variant>
        <vt:i4>1310773</vt:i4>
      </vt:variant>
      <vt:variant>
        <vt:i4>32</vt:i4>
      </vt:variant>
      <vt:variant>
        <vt:i4>0</vt:i4>
      </vt:variant>
      <vt:variant>
        <vt:i4>5</vt:i4>
      </vt:variant>
      <vt:variant>
        <vt:lpwstr/>
      </vt:variant>
      <vt:variant>
        <vt:lpwstr>_Toc212024761</vt:lpwstr>
      </vt:variant>
      <vt:variant>
        <vt:i4>1310773</vt:i4>
      </vt:variant>
      <vt:variant>
        <vt:i4>26</vt:i4>
      </vt:variant>
      <vt:variant>
        <vt:i4>0</vt:i4>
      </vt:variant>
      <vt:variant>
        <vt:i4>5</vt:i4>
      </vt:variant>
      <vt:variant>
        <vt:lpwstr/>
      </vt:variant>
      <vt:variant>
        <vt:lpwstr>_Toc212024760</vt:lpwstr>
      </vt:variant>
      <vt:variant>
        <vt:i4>1507381</vt:i4>
      </vt:variant>
      <vt:variant>
        <vt:i4>20</vt:i4>
      </vt:variant>
      <vt:variant>
        <vt:i4>0</vt:i4>
      </vt:variant>
      <vt:variant>
        <vt:i4>5</vt:i4>
      </vt:variant>
      <vt:variant>
        <vt:lpwstr/>
      </vt:variant>
      <vt:variant>
        <vt:lpwstr>_Toc212024759</vt:lpwstr>
      </vt:variant>
      <vt:variant>
        <vt:i4>1507381</vt:i4>
      </vt:variant>
      <vt:variant>
        <vt:i4>14</vt:i4>
      </vt:variant>
      <vt:variant>
        <vt:i4>0</vt:i4>
      </vt:variant>
      <vt:variant>
        <vt:i4>5</vt:i4>
      </vt:variant>
      <vt:variant>
        <vt:lpwstr/>
      </vt:variant>
      <vt:variant>
        <vt:lpwstr>_Toc212024758</vt:lpwstr>
      </vt:variant>
      <vt:variant>
        <vt:i4>1507381</vt:i4>
      </vt:variant>
      <vt:variant>
        <vt:i4>8</vt:i4>
      </vt:variant>
      <vt:variant>
        <vt:i4>0</vt:i4>
      </vt:variant>
      <vt:variant>
        <vt:i4>5</vt:i4>
      </vt:variant>
      <vt:variant>
        <vt:lpwstr/>
      </vt:variant>
      <vt:variant>
        <vt:lpwstr>_Toc212024757</vt:lpwstr>
      </vt:variant>
      <vt:variant>
        <vt:i4>1507381</vt:i4>
      </vt:variant>
      <vt:variant>
        <vt:i4>2</vt:i4>
      </vt:variant>
      <vt:variant>
        <vt:i4>0</vt:i4>
      </vt:variant>
      <vt:variant>
        <vt:i4>5</vt:i4>
      </vt:variant>
      <vt:variant>
        <vt:lpwstr/>
      </vt:variant>
      <vt:variant>
        <vt:lpwstr>_Toc212024756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Kapil Manshani</dc:creator>
  <cp:keywords/>
  <dc:description/>
  <cp:lastModifiedBy>Kapil Manshani (Quadrant Technologies)</cp:lastModifiedBy>
  <cp:revision>1036</cp:revision>
  <cp:lastPrinted>2025-10-27T05:14:00Z</cp:lastPrinted>
  <dcterms:created xsi:type="dcterms:W3CDTF">2025-09-09T16:10:00Z</dcterms:created>
  <dcterms:modified xsi:type="dcterms:W3CDTF">2025-11-06T05:21:00Z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1623a49-226d-4971-9b72-5831eb755e6f_Enabled">
    <vt:lpwstr>true</vt:lpwstr>
  </property>
  <property fmtid="{D5CDD505-2E9C-101B-9397-08002B2CF9AE}" pid="3" name="MSIP_Label_31623a49-226d-4971-9b72-5831eb755e6f_SetDate">
    <vt:lpwstr>2025-09-16T21:52:35Z</vt:lpwstr>
  </property>
  <property fmtid="{D5CDD505-2E9C-101B-9397-08002B2CF9AE}" pid="4" name="MSIP_Label_31623a49-226d-4971-9b72-5831eb755e6f_Method">
    <vt:lpwstr>Standard</vt:lpwstr>
  </property>
  <property fmtid="{D5CDD505-2E9C-101B-9397-08002B2CF9AE}" pid="5" name="MSIP_Label_31623a49-226d-4971-9b72-5831eb755e6f_Name">
    <vt:lpwstr>Confidential</vt:lpwstr>
  </property>
  <property fmtid="{D5CDD505-2E9C-101B-9397-08002B2CF9AE}" pid="6" name="MSIP_Label_31623a49-226d-4971-9b72-5831eb755e6f_SiteId">
    <vt:lpwstr>0eadb77e-42dc-47f8-bbe3-ec2395e0712c</vt:lpwstr>
  </property>
  <property fmtid="{D5CDD505-2E9C-101B-9397-08002B2CF9AE}" pid="7" name="MSIP_Label_31623a49-226d-4971-9b72-5831eb755e6f_ActionId">
    <vt:lpwstr>768b2612-8790-44dc-a8fe-be5a10958eb5</vt:lpwstr>
  </property>
  <property fmtid="{D5CDD505-2E9C-101B-9397-08002B2CF9AE}" pid="8" name="MSIP_Label_31623a49-226d-4971-9b72-5831eb755e6f_ContentBits">
    <vt:lpwstr>0</vt:lpwstr>
  </property>
  <property fmtid="{D5CDD505-2E9C-101B-9397-08002B2CF9AE}" pid="9" name="MSIP_Label_31623a49-226d-4971-9b72-5831eb755e6f_Tag">
    <vt:lpwstr>10, 3, 0, 1</vt:lpwstr>
  </property>
  <property fmtid="{D5CDD505-2E9C-101B-9397-08002B2CF9AE}" pid="10" name="ContentTypeId">
    <vt:lpwstr>0x0101008DD97133AC1C7646B1DACF4F8D3F5ACC</vt:lpwstr>
  </property>
  <property fmtid="{D5CDD505-2E9C-101B-9397-08002B2CF9AE}" pid="11" name="_dlc_DocIdItemGuid">
    <vt:lpwstr>1cfddff8-c41d-4841-8e12-d87e5524d75c</vt:lpwstr>
  </property>
</Properties>
</file>